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  <w:shd w:fill="FFFFFF" w:val="clear"/>
        </w:rPr>
      </w:pPr>
      <w:r>
        <w:rPr>
          <w:rFonts w:cs="Calibri" w:ascii="Calibri" w:hAnsi="Calibri" w:cstheme="minorHAnsi"/>
          <w:b/>
          <w:color w:val="000000"/>
          <w:sz w:val="20"/>
          <w:szCs w:val="20"/>
          <w:shd w:fill="FFFFFF" w:val="clear"/>
        </w:rPr>
        <w:t>Wymagania edukacyjne z biologii dla klasy 5 szkoły podstawowej opracowane w oparciu o:</w:t>
      </w:r>
    </w:p>
    <w:p>
      <w:pPr>
        <w:pStyle w:val="Normal"/>
        <w:numPr>
          <w:ilvl w:val="0"/>
          <w:numId w:val="48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Podstawę programową;</w:t>
      </w:r>
    </w:p>
    <w:p>
      <w:pPr>
        <w:pStyle w:val="Normal"/>
        <w:numPr>
          <w:ilvl w:val="0"/>
          <w:numId w:val="48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Rozporządzenie MEN  w sprawie oceniania, klasyfikowania i promowania uczniów;</w:t>
      </w:r>
    </w:p>
    <w:p>
      <w:pPr>
        <w:pStyle w:val="Normal"/>
        <w:numPr>
          <w:ilvl w:val="0"/>
          <w:numId w:val="48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Statut;</w:t>
      </w:r>
    </w:p>
    <w:p>
      <w:pPr>
        <w:pStyle w:val="Normal"/>
        <w:numPr>
          <w:ilvl w:val="0"/>
          <w:numId w:val="48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Program nauczania biologii ,,Puls Życia” Nowa Era</w:t>
      </w:r>
    </w:p>
    <w:p>
      <w:pPr>
        <w:pStyle w:val="Normal"/>
        <w:ind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1. Ocenianie wiadomości i umiejętności: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5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Oceniamy:</w:t>
      </w:r>
    </w:p>
    <w:p>
      <w:pPr>
        <w:pStyle w:val="Normal"/>
        <w:widowControl w:val="false"/>
        <w:suppressAutoHyphens w:val="true"/>
        <w:bidi w:val="0"/>
        <w:spacing w:before="0" w:after="0"/>
        <w:ind w:hanging="737" w:left="73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a. wiadomości przedmiotowe: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Zgodnie z programem nauczania i kryteriami wynikającymi z podstaw programowych.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b. umiejętności przedmiotowe: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planowanie prostych eksperymentów,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analizowanie i interpretowanie wyników obserwacji i eksperymentów,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gromadzenie danych,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dostrzeganie związków przyczynowo – skutkowych,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porównywanie i wnioskowanie,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wykonywanie prostych wykresów, diagramów i ich interpretowanie,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posługiwanie się środkami technicznymi,</w:t>
      </w:r>
    </w:p>
    <w:p>
      <w:pPr>
        <w:pStyle w:val="Normal"/>
        <w:numPr>
          <w:ilvl w:val="0"/>
          <w:numId w:val="49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korzystanie z różnych źródeł informacji.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c. postawę ucznia i jego aktywność: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pracę w grupie,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dyskusję,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aktywność na lekcji,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odpowiedzialność za podjęte zadania, kreatywność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080" w:leader="none"/>
        </w:tabs>
        <w:suppressAutoHyphens w:val="true"/>
        <w:bidi w:val="0"/>
        <w:spacing w:before="0" w:after="0"/>
        <w:ind w:hanging="737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</w:t>
      </w:r>
      <w:r>
        <w:rPr>
          <w:rFonts w:ascii="Calibri" w:hAnsi="Calibri"/>
          <w:b/>
          <w:bCs/>
          <w:color w:val="000000"/>
          <w:sz w:val="20"/>
          <w:szCs w:val="20"/>
        </w:rPr>
        <w:t>2</w:t>
      </w:r>
      <w:r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b/>
          <w:color w:val="000000"/>
          <w:sz w:val="20"/>
          <w:szCs w:val="20"/>
        </w:rPr>
        <w:t>Formy podlegające ocenie:</w:t>
      </w:r>
    </w:p>
    <w:p>
      <w:pPr>
        <w:pStyle w:val="Normal"/>
        <w:ind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 xml:space="preserve">a. odpowiedzi ustne 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b. formy pisemne:</w:t>
        <w:br/>
        <w:t xml:space="preserve">- </w:t>
      </w:r>
      <w:r>
        <w:rPr>
          <w:rFonts w:ascii="Calibri" w:hAnsi="Calibri"/>
          <w:color w:val="000000"/>
          <w:sz w:val="20"/>
          <w:szCs w:val="20"/>
        </w:rPr>
        <w:t>kartkówki obejmuj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materiał z trzech ostatnich lekcji (nie musz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by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ć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wcze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ś</w:t>
      </w:r>
      <w:r>
        <w:rPr>
          <w:rFonts w:ascii="Calibri" w:hAnsi="Calibri"/>
          <w:color w:val="000000"/>
          <w:sz w:val="20"/>
          <w:szCs w:val="20"/>
        </w:rPr>
        <w:t>niej zapowiedziane),</w:t>
        <w:br/>
        <w:t>- testy, sprawdziany podsumowuj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poszczególne działy (zapowiedziane z tygodniowym wyprzedzeniem),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Przyłapanie ucznia na niesamodzielnej pracy podczas kartkówki, na sprawdzianie lub teście wiąże się z otrzymaniem oceny niedostatecznej oraz zakończeniem pracy. </w:t>
        <w:br/>
        <w:t>Przez niesamodzielną pracę należy rozumieć min.: odwracanie się, rozmawianie, odpisywanie, przepisywanie, itp.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c. wkład pracy w przyswojenie wiedzy na lekcji bie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>żą</w:t>
      </w:r>
      <w:r>
        <w:rPr>
          <w:rFonts w:ascii="Calibri" w:hAnsi="Calibri"/>
          <w:b/>
          <w:color w:val="000000"/>
          <w:sz w:val="20"/>
          <w:szCs w:val="20"/>
        </w:rPr>
        <w:t xml:space="preserve">cej (krótkie wypowiedzi na lekcji, praca </w:t>
        <w:br/>
        <w:t>w grupie, obserwacja do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wiadcze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ń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color w:val="000000"/>
          <w:sz w:val="20"/>
          <w:szCs w:val="20"/>
        </w:rPr>
        <w:t>i wyci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ą</w:t>
      </w:r>
      <w:r>
        <w:rPr>
          <w:rFonts w:ascii="Calibri" w:hAnsi="Calibri"/>
          <w:b/>
          <w:color w:val="000000"/>
          <w:sz w:val="20"/>
          <w:szCs w:val="20"/>
        </w:rPr>
        <w:t>ganie wniosków itp.).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d. umiej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ę</w:t>
      </w:r>
      <w:r>
        <w:rPr>
          <w:rFonts w:ascii="Calibri" w:hAnsi="Calibri"/>
          <w:b/>
          <w:color w:val="000000"/>
          <w:sz w:val="20"/>
          <w:szCs w:val="20"/>
        </w:rPr>
        <w:t>tno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ci doskonalone w szkole/ domu (projekty).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f. prace dodatkowe</w:t>
      </w:r>
      <w:r>
        <w:rPr>
          <w:rFonts w:ascii="Calibri" w:hAnsi="Calibri"/>
          <w:color w:val="000000"/>
          <w:sz w:val="20"/>
          <w:szCs w:val="20"/>
        </w:rPr>
        <w:t xml:space="preserve"> (opracowanie referatu, pomocy multimedialnych na zadany temat, opracowania oparte na innych 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ź</w:t>
      </w:r>
      <w:r>
        <w:rPr>
          <w:rFonts w:ascii="Calibri" w:hAnsi="Calibri"/>
          <w:color w:val="000000"/>
          <w:sz w:val="20"/>
          <w:szCs w:val="20"/>
        </w:rPr>
        <w:t>ródłach niż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podr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ę</w:t>
      </w:r>
      <w:r>
        <w:rPr>
          <w:rFonts w:ascii="Calibri" w:hAnsi="Calibri"/>
          <w:color w:val="000000"/>
          <w:sz w:val="20"/>
          <w:szCs w:val="20"/>
        </w:rPr>
        <w:t>cznik, plansze, rysunki, okazy wzbogacaj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zbiory itp.) – uczeń otrzymuje ocenę  w skali celuj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cy – bardzo dobry – dobry – dostateczny – dopuszczający.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g. za czynny udział w zajęciach pozalekcyjnych</w:t>
      </w:r>
      <w:r>
        <w:rPr>
          <w:rFonts w:ascii="Calibri" w:hAnsi="Calibri"/>
          <w:color w:val="000000"/>
          <w:sz w:val="20"/>
          <w:szCs w:val="20"/>
        </w:rPr>
        <w:t xml:space="preserve"> związanych z poszerzaniem  i gruntowaniem wiadomości uczeń otrzymuje dodatkowe oceny (także celujące).</w:t>
        <w:br/>
        <w:br/>
        <w:br/>
      </w:r>
      <w:r>
        <w:rPr>
          <w:rFonts w:ascii="Calibri" w:hAnsi="Calibri"/>
          <w:b/>
          <w:bCs/>
          <w:color w:val="000000"/>
          <w:sz w:val="20"/>
          <w:szCs w:val="20"/>
        </w:rPr>
        <w:t>3</w:t>
      </w:r>
      <w:r>
        <w:rPr>
          <w:rFonts w:ascii="Calibri" w:hAnsi="Calibri"/>
          <w:b/>
          <w:color w:val="000000"/>
          <w:sz w:val="20"/>
          <w:szCs w:val="20"/>
        </w:rPr>
        <w:t>. Wymagania ogólne na poszczególne stopnie:</w:t>
      </w:r>
    </w:p>
    <w:p>
      <w:pPr>
        <w:pStyle w:val="Normal"/>
        <w:ind w:left="360"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celujący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 oraz posiada wiedzę i umiejętności,  również wykraczające poza program nauczania dla danej klasy, potrafi selekcjonować i hierarchizować wiadomości, z powodzeniem bierze udział w konkursach i olimpiadach przedmiotowych, pod okiem nauczyciela prowadzi własne prace badawcze, aktywnie uczestniczy w zajęciach stosuje oraz wiadomości  w sytuacjach trudnych;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bardzo dobry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kształcenia, umie samodzielnie interpretować zjawiska,  odpowiedź jest wyczerpująca, bezbłędna, samodzielna, uwzględniająca język przedmiotowy   i adekwatna do poziomu wymagań na ocenę bardzo dobrą, aktywnie uczestniczy w zajęciach oraz stosuje wiadomości  w sytuacjach trudniejszych;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dobry</w:t>
      </w:r>
      <w:r>
        <w:rPr>
          <w:rFonts w:ascii="Calibri" w:hAnsi="Calibri"/>
          <w:color w:val="000000"/>
          <w:sz w:val="20"/>
          <w:szCs w:val="20"/>
        </w:rPr>
        <w:t>, gdy odpowiedź jest samodzielna, z niewielkimi usterkami językowymi, zgodna z wymaganiami na ocenę dobrą, uczeń właściwie stosuje terminologię przedmiotową, aktywnie uczestniczy w zajęciach oraz stosuje wiadomości w sytuacjach typowych, rozwiązuje typowe problemy z wykorzystaniem poznanych metod, samodzielnie pracuje  z podręcznikiem i materiałami źródłowymi;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dostateczny</w:t>
      </w:r>
      <w:r>
        <w:rPr>
          <w:rFonts w:ascii="Calibri" w:hAnsi="Calibri"/>
          <w:color w:val="000000"/>
          <w:sz w:val="20"/>
          <w:szCs w:val="20"/>
        </w:rPr>
        <w:t>, gdy zawiera małe błędy, jest samodzielna, lecz niepełna,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 xml:space="preserve">z wymaganiami podstawowymi, uczeń opanował wiadomości podstawowe </w:t>
      </w:r>
    </w:p>
    <w:p>
      <w:pPr>
        <w:pStyle w:val="Normal"/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</w:t>
      </w:r>
      <w:r>
        <w:rPr>
          <w:rFonts w:ascii="Calibri" w:hAnsi="Calibri"/>
          <w:color w:val="000000"/>
          <w:sz w:val="20"/>
          <w:szCs w:val="20"/>
        </w:rPr>
        <w:t>i z niewielką pomocą nauczyciela potrafi rozwiązywać podstawowe zależności, próbuje porównywać, wnioskować i zajmować określone stanowisko;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dopuszczający</w:t>
      </w:r>
      <w:r>
        <w:rPr>
          <w:rFonts w:ascii="Calibri" w:hAnsi="Calibri"/>
          <w:color w:val="000000"/>
          <w:sz w:val="20"/>
          <w:szCs w:val="20"/>
        </w:rPr>
        <w:t>, gdy odpowiedź jest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z wymaganiami koniecznymi, obejmuje wiedzę i umiejętności proste, łatwe do opanowania i zapamiętania dla każdego ucznia, niezbędne do dalszej edukacji, często przydatne w życiu;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niedostateczny</w:t>
      </w:r>
      <w:r>
        <w:rPr>
          <w:rFonts w:ascii="Calibri" w:hAnsi="Calibri"/>
          <w:color w:val="000000"/>
          <w:sz w:val="20"/>
          <w:szCs w:val="20"/>
        </w:rPr>
        <w:t>, gdy odpowiedź zawiera poważne błędy merytoryczne, jest niesamodzielna i pomija najważniejsze kwestie.</w:t>
        <w:b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ind w:hanging="0" w:left="-180" w:right="0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4.  </w:t>
      </w:r>
      <w:r>
        <w:rPr>
          <w:rFonts w:ascii="Calibri" w:hAnsi="Calibri"/>
          <w:b/>
          <w:bCs/>
          <w:color w:val="000000"/>
          <w:sz w:val="20"/>
          <w:szCs w:val="20"/>
        </w:rPr>
        <w:t>Szczegółowe wymagania edukacyjne na poszczególne stopnie dla uczniów klasy piątej:</w:t>
      </w:r>
    </w:p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</w:rPr>
      </w:pPr>
      <w:r>
        <w:rPr>
          <w:rFonts w:cs="Calibri" w:cstheme="minorHAnsi" w:ascii="Calibri" w:hAnsi="Calibri"/>
          <w:b/>
          <w:color w:val="000000"/>
          <w:sz w:val="20"/>
          <w:szCs w:val="20"/>
        </w:rPr>
      </w: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38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-68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2052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170" w:left="89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1. Biologia jako nauka</w:t>
            </w:r>
          </w:p>
          <w:p>
            <w:pPr>
              <w:pStyle w:val="TableParagraph"/>
              <w:widowControl w:val="false"/>
              <w:suppressAutoHyphens w:val="true"/>
              <w:spacing w:before="52" w:after="0"/>
              <w:ind w:hanging="0" w:left="4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left="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5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biologię jako naukę o organizmach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8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czynności życiowe organizmów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6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left="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33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określa przedmiot badań biologii jako nauki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41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wskazane cechy organizmów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7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left="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34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cechy wspólne organizmów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24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czynności życiowe organizmów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0" w:right="227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left="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3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charakteryzuje wszystkie czynności życiowe organizmów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8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hierarchicznie poziomy budowy organizmu roślinnego </w:t>
              <w:br/>
              <w:t>i organizmu zwierzęcego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39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charakteryzuje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left="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24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jedność budowy organizmów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6" w:right="42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porównuje poziomy organizacji organizmów u roślin </w:t>
              <w:br/>
              <w:t>i zwierząt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26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inne niż podane w podręczniku dziedziny biologii</w:t>
            </w:r>
          </w:p>
        </w:tc>
      </w:tr>
      <w:tr>
        <w:trPr>
          <w:trHeight w:val="198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650" w:leader="none"/>
                <w:tab w:val="left" w:pos="1781" w:leader="none"/>
              </w:tabs>
              <w:suppressAutoHyphens w:val="true"/>
              <w:spacing w:lineRule="auto" w:line="235" w:before="65" w:after="0"/>
              <w:ind w:hanging="172" w:left="227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2. Jak poznawać biologię?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left="22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6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obserwacje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left="226" w:right="14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doświadczenia jako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38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46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przeprowadza doświadczenie metodą naukową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left="51" w:right="607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porównuje obserwację </w:t>
              <w:br/>
              <w:t>z doświadczeniem jako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6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korzysta ze źródeł wiedzy wskazanych przez nauczyciela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3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przeprowadza doświadczenie metodą naukową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46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opisu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22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rozróżnia próbę kontrolną i próbę badawczą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5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1" w:right="32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cechy dobrego badacza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3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zalety metody naukowej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12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samodzielnie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5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posługuje się właściwymi źródłami wiedzy biologicznej </w:t>
              <w:br/>
              <w:t>do rozwiązywania wskazanych problemów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5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charakteryzuje cechy dobrego badacza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44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planuje </w:t>
              <w:br/>
              <w:t>i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0" w:right="36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krytycznie analizuje informacje pochodzące </w:t>
              <w:br/>
              <w:t>z różnych źródeł wiedzy biologicznej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0" w:right="39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analizuje swoją postawę w odniesieniu do cech dobrego badacza</w:t>
            </w:r>
          </w:p>
        </w:tc>
      </w:tr>
      <w:tr>
        <w:trPr>
          <w:trHeight w:val="2154" w:hRule="atLeast"/>
        </w:trPr>
        <w:tc>
          <w:tcPr>
            <w:tcW w:w="624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left="227" w:right="5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3. Obserwacje mikroskopowe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left="227" w:right="605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 nazywa części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  <w:tab w:val="left" w:pos="1643" w:leader="none"/>
              </w:tabs>
              <w:suppressAutoHyphens w:val="true"/>
              <w:spacing w:lineRule="auto" w:line="235" w:before="3" w:after="0"/>
              <w:ind w:hanging="170" w:left="221" w:righ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24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nazywa wskazane przez nauczyciela części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18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wykonuje proste preparaty mikroskopowe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38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oblicza powiększenie obrazu mikroskopu spod optycznego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  <w:tab w:val="left" w:pos="1995" w:leader="none"/>
                <w:tab w:val="left" w:pos="2137" w:leader="none"/>
              </w:tabs>
              <w:suppressAutoHyphens w:val="true"/>
              <w:spacing w:lineRule="auto" w:line="235" w:before="65" w:after="0"/>
              <w:ind w:hanging="170" w:left="221" w:right="27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samodzielnie opisuje budowę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3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samodzielnie wykonuje preparaty mikroskopowe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nastawia ostrość mikroskopu</w:t>
              <w:br/>
              <w:t>i wyszukuje obserwowane elementy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2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charakteryzuje funkcje wskazywanych części mikroskopu optycznego w kolejności tworzenia się obrazu obiektu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4" w:after="0"/>
              <w:ind w:hanging="170" w:left="221" w:right="2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wykonuje preparaty mikroskopowe, nastawia ostrość mikroskopu, rysuje obraz widziany pod mikroskopem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25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sprawnie posługuje się mikroskopem optycznym, samodzielnie wykonuje preparaty, rysuje dokładny obraz obiektu obserwowanego pod mikroskopem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" w:after="0"/>
              <w:ind w:hanging="170" w:left="220" w:right="2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>wskazuje zalety mikroskopu elektronowego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4. Hierarchiczna budowa organizmów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uppressAutoHyphens w:val="true"/>
              <w:spacing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  komórki jako podstawowej jednostki życia</w:t>
            </w:r>
          </w:p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uppressAutoHyphens w:val="true"/>
              <w:spacing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elementy stopniowego komplikowania się organizmu roślinnego lub zwierzęcego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suppressAutoHyphens w:val="true"/>
              <w:spacing w:before="87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elementy stopniowego komplikowania się organizmu roślinnego </w:t>
              <w:br/>
              <w:t>i zwierzęcego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suppressAutoHyphens w:val="true"/>
              <w:spacing w:before="87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omawia  na  ilustracji stopniowe komplikowania się budowy organizmów  zwierzęcych </w:t>
              <w:br/>
              <w:t>i  roślinnych, zwracając uwagę na różnicę organizmu roślinnego i zwierzęcego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uppressAutoHyphens w:val="true"/>
              <w:spacing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analizuje na  ilustracji stopniowe komplikowania się budowy organizmów  zwierzęcych i  roślinnych</w:t>
            </w:r>
          </w:p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409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1657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left="227" w:right="34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5. Budowa komórki zwierzęcej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left="220" w:right="24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7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komórkę jako podstawową jednostkę życia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organizmów jedno-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6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wielokomórkowych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obserwuje preparat nabłonka przygotowany przez nauczyciela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left="51" w:right="15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11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dlaczego komórkę nazywamy podstawową jednostką organizmu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9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organelle komórki zwierzęcej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8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wykonuje preparat nabłonka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51" w:right="286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32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kształty komórek zwierzęcych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329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budowę komórki zwierzęcej na podstawie ilustracji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24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wykonuje preparat nabłonka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51" w:right="307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8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na ilustracji elementy budowy komórki zwierzęcej i omawia ich funkcje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5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wykonuje preparat nabłonka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15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rozpoznaje organelle komórki zwierzęcej </w:t>
              <w:br/>
              <w:t>i rysuje jej obraz mikroskopowy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left="221" w:right="307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8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dowolnego materiału tworzy model komórki, zachowując cechy organelli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50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sprawnie posługuje się mikroskopem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1" w:right="26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-2"/>
                <w:kern w:val="0"/>
                <w:sz w:val="20"/>
                <w:szCs w:val="20"/>
                <w:lang w:eastAsia="en-US" w:bidi="ar-SA"/>
              </w:rPr>
              <w:t>samodzielnie wykonuje preparat nabłonka i rysuje dokładny obraz widziany pod mikroskopem,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3" w:after="0"/>
              <w:ind w:left="225" w:right="9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-2"/>
                <w:kern w:val="0"/>
                <w:sz w:val="20"/>
                <w:szCs w:val="20"/>
                <w:lang w:eastAsia="en-US" w:bidi="ar-SA"/>
              </w:rPr>
              <w:t>z zaznaczeniem widocznych elementów komórki</w:t>
            </w:r>
          </w:p>
        </w:tc>
      </w:tr>
      <w:tr>
        <w:trPr>
          <w:trHeight w:val="306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left="227" w:right="15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6. Komórka roślinna. Inne rodzaje komórek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left="220" w:right="24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5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-2"/>
                <w:kern w:val="0"/>
                <w:sz w:val="20"/>
                <w:szCs w:val="20"/>
                <w:lang w:eastAsia="en-US" w:bidi="ar-SA"/>
              </w:rPr>
              <w:t>na podstawie obserwacji preparatów, ilustracji</w:t>
              <w:br/>
              <w:t xml:space="preserve">i schematów wnioskuje </w:t>
              <w:br/>
              <w:t>o komórkowej budowie organizmów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5" w:before="2" w:after="0"/>
              <w:ind w:hanging="170" w:left="225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elementy budowy komórki roślinnej, zwierzęcej, bakteryjnej</w:t>
              <w:br/>
              <w:t xml:space="preserve">i </w:t>
            </w: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>grzybowej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obserwuje pod mikroskopem preparat moczarki kanadyjskiej przygotowany przez nauczyciela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-2"/>
                <w:kern w:val="0"/>
                <w:sz w:val="20"/>
                <w:szCs w:val="20"/>
                <w:lang w:eastAsia="en-US" w:bidi="ar-SA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25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komórki bezjądrowej i jądrowej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8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funkcje elementów komórki roślinnej, zwierzęcej, bakteryjnej i </w:t>
            </w: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>grzybowej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7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wykonuje preparat moczarki kanadyjskiej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13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obserwuje pod mikroskopem organelle wskazane przez nauczyciela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left="22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65" w:after="0"/>
              <w:ind w:hanging="170" w:left="225" w:right="20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czym są komórki jądrowe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j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 bezjądrowe oraz podaje ich przykłady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3" w:after="0"/>
              <w:ind w:hanging="170" w:left="225" w:right="44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samodzielnie wykonuje preparat moczarki kanadyjskiej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2" w:after="0"/>
              <w:ind w:hanging="170" w:left="225" w:right="1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odróżnia pod mikroskopem elementy budowy komórki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1" w:after="0"/>
              <w:ind w:hanging="170" w:left="225" w:right="14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rolę poszczególnych elementów komórki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3" w:after="0"/>
              <w:ind w:hanging="170" w:left="225" w:right="33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rysuje obraz obiektu obserwowanego pod mikroskopem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left="220" w:right="13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21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omawia elementy </w:t>
              <w:br/>
              <w:t>i funkcje budowy komórki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6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ilustracji analizuje różnice między poszczególnymi typami komórek, wskazuje cechy umożliwiające rozróżnienie komórek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4" w:after="0"/>
              <w:ind w:hanging="170" w:left="220" w:right="18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samodzielnie wykonuje preparat moczarki kanadyjskiej, rozpoznaje elementy budowy komórki roślinnej i rysuje jej obraz mikroskopowy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left="221" w:right="6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37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analizuje różnice między poszczególnymi typami komórek </w:t>
              <w:br/>
              <w:t xml:space="preserve">i wykazuje ich związek </w:t>
              <w:br/>
              <w:t>z pełnionymi funkcjami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4" w:after="0"/>
              <w:ind w:hanging="170" w:left="220" w:right="8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sprawnie posługuje się mikroskopem, samodzielnie wykonuje preparat nabłonka </w:t>
              <w:br/>
              <w:t>i rysuje dokładny obraz widziany pod mikroskopem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left="221" w:right="24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</w:tbl>
    <w:p>
      <w:pPr>
        <w:sectPr>
          <w:type w:val="continuous"/>
          <w:pgSz w:orient="landscape" w:w="15600" w:h="11630"/>
          <w:pgMar w:left="720" w:right="720" w:gutter="0" w:header="0" w:top="720" w:footer="708" w:bottom="765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-68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left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817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II. Budowa i czynności życiowe organizmów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3819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7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7. Samożywność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left="223" w:right="323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74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czym jest odżywianie się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74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czym jest samożywność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18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organizmów samożywnych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51" w:right="237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24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wskazuje fotosyntezę jako sposób </w:t>
              <w:br/>
              <w:t>odżywiania się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1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substancje biorące udział w fotosyntezie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left="226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wymienia produkty fotosyntezy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9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przeprowadza doświadczenie wykazujące wpływ dwutlenku węgla na intensywność przebiegu fotosyntezy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left="51" w:right="53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6" w:right="5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czynniki niezbędne do przeprowadzania fotosyntezy</w:t>
            </w:r>
          </w:p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substraty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produkty fotosyntezy</w:t>
            </w:r>
          </w:p>
          <w:p>
            <w:pPr>
              <w:pStyle w:val="Normal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8" w:before="0" w:after="0"/>
              <w:ind w:hanging="170" w:left="226" w:right="26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>omawia sposoby wykorzystania przez roślinę produktów fotosyntezy</w:t>
            </w:r>
          </w:p>
          <w:p>
            <w:pPr>
              <w:pStyle w:val="Normal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left="226" w:right="20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przeprowadza doświadczenie wykazujące wpływ dwutlenku węgla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3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na czym polega fotosynteza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omawia zależność przebiegu fotosyntezy od obecności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pacing w:val="-3"/>
                <w:kern w:val="0"/>
                <w:sz w:val="20"/>
                <w:szCs w:val="20"/>
                <w:lang w:eastAsia="en-US" w:bidi="ar-SA"/>
              </w:rPr>
              <w:t xml:space="preserve">wody,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dwutlenku węgla</w:t>
              <w:br/>
              <w:t>i światła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  <w:tab w:val="left" w:pos="2137" w:leader="none"/>
              </w:tabs>
              <w:suppressAutoHyphens w:val="true"/>
              <w:spacing w:lineRule="auto" w:line="235" w:before="1" w:after="0"/>
              <w:ind w:hanging="170" w:left="221" w:right="45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schematycznie zapisuje i omawia przebieg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20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opisu przeprowadza doświadczenie wykazujące wpływ dwutlenku węgla</w:t>
            </w:r>
          </w:p>
          <w:p>
            <w:pPr>
              <w:pStyle w:val="Normal"/>
              <w:widowControl w:val="false"/>
              <w:suppressAutoHyphens w:val="true"/>
              <w:spacing w:lineRule="exact" w:line="207" w:before="0" w:after="0"/>
              <w:ind w:left="2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21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analizuje przystosowanie roślin do przeprowadzania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17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planuje i samodzielnie przeprowadza doświadczenie wykazujące wpływ dwutlenku węgla na intensywność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podstawie zdobytej wcześniej wiedzy wskazuje </w:t>
              <w:br/>
              <w:t>w różnych warzywach</w:t>
              <w:br/>
              <w:t>i owocach materiały zapasowe jako produkty fotosyntezy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8. Cudzożywność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left="222" w:right="58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74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czym jest cudzożywność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3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organizmów cudzożywnych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  <w:tab w:val="left" w:pos="2137" w:leader="none"/>
              </w:tabs>
              <w:suppressAutoHyphens w:val="true"/>
              <w:spacing w:lineRule="auto" w:line="235" w:before="1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rodzaje cudzożywności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51" w:right="37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krótko opisuje różne sposoby odżywiania się zwierząt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w jaki sposób wskazany organizm cudzożywny pobiera pokarm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51" w:right="17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26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wybrane sposoby cudzożywności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podaje przykłady organizmów należących </w:t>
              <w:br/>
              <w:t>do różnych grup organizmów cudzożywnych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left="51" w:right="21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1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charakteryzuje rodzaje cudzożywności występujące u różnych grup organizmów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11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przystosowania do pobierania pokarmów występujące u różnych grup organizmów cudzożywnych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left="221" w:right="48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5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znaczenie organizmów odżywiających się martwą substancją organiczną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suppressAutoHyphens w:val="true"/>
              <w:spacing w:lineRule="exact" w:line="204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 xml:space="preserve">wyjaśnia, na czym polega cudzożywność roślin pasożytniczych </w:t>
              <w:br/>
              <w:t>i półpasożytniczych</w:t>
            </w:r>
          </w:p>
        </w:tc>
      </w:tr>
      <w:tr>
        <w:trPr>
          <w:trHeight w:val="252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59" w:left="214" w:right="24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-3"/>
                <w:kern w:val="0"/>
                <w:sz w:val="20"/>
                <w:szCs w:val="20"/>
                <w:lang w:eastAsia="en-US" w:bidi="ar-SA"/>
              </w:rPr>
              <w:t xml:space="preserve">9.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pacing w:val="-5"/>
                <w:kern w:val="0"/>
                <w:sz w:val="20"/>
                <w:szCs w:val="20"/>
                <w:lang w:eastAsia="en-US" w:bidi="ar-SA"/>
              </w:rPr>
              <w:t>Sposoby oddychania organizmów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left="219" w:right="283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82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określa, czym jest oddychanie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sposoby oddychania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0" w:righ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drożdże jako organizmy przeprowadzające fermentację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wyróżnia oddychanie tlenowe i fermentację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  <w:tab w:val="left" w:pos="2137" w:leader="none"/>
              </w:tabs>
              <w:suppressAutoHyphens w:val="true"/>
              <w:spacing w:lineRule="auto" w:line="235" w:before="1" w:after="0"/>
              <w:ind w:hanging="170" w:left="225" w:right="5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organizmy uzyskujące energię</w:t>
              <w:br/>
              <w:t xml:space="preserve">z oddychania tlenowego </w:t>
              <w:br/>
              <w:t>i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że produktem fermentacji drożdży jest dwutlenek węgla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mitochondrium jako miejsce, w którym zachodzi utlenianie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19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znaczenie oddychania komórkowego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różnice w miejscu przebiegu utleniania</w:t>
              <w:br/>
              <w:t>i fermentacji w komórce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0" w:right="15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narządy wymiany gazowej zwierząt lądowych </w:t>
              <w:br/>
              <w:t>i wodnych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0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doświadczenie wykazujące wydzielanie dwutlenku węgla przez drożdże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zapisuje schematycznie przebieg oddychania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20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określa warunki przebiegu oddychania i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charakteryzuje wymianę gazową u roślin </w:t>
              <w:br/>
              <w:t>i zwierząt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  <w:tab w:val="left" w:pos="2058" w:leader="none"/>
              </w:tabs>
              <w:suppressAutoHyphens w:val="true"/>
              <w:spacing w:lineRule="auto" w:line="235" w:before="2" w:after="0"/>
              <w:ind w:hanging="170" w:left="220" w:right="20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przeprowadza doświadczenie wykazujące wydzielanie dwutlenku węgla przez drożdże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5" w:right="5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porównuje zapis przebiegu oddychania tlenowego</w:t>
              <w:br/>
              <w:t>z zapisem przebiegu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0" w:right="10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analizuje związek budowy narządów wymiany gazowej ze środowiskiem życia organizmów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0" w:right="12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samodzielnie przeprowadza doświadczenie wykazujące wydzielanie dwutlenku węgla przez drożdże</w:t>
            </w:r>
          </w:p>
        </w:tc>
      </w:tr>
    </w:tbl>
    <w:p>
      <w:pPr>
        <w:sectPr>
          <w:type w:val="continuous"/>
          <w:pgSz w:orient="landscape" w:w="15600" w:h="11630"/>
          <w:pgMar w:left="720" w:right="720" w:gutter="0" w:header="0" w:top="720" w:footer="708" w:bottom="765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2145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left="0"/>
              <w:jc w:val="left"/>
              <w:rPr>
                <w:rFonts w:ascii="Calibri" w:hAnsi="Calibri" w:cs="Calibri" w:asciiTheme="minorHAnsi" w:cstheme="minorHAnsi" w:hAnsi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color w:val="000000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170" w:left="17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III. 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70" w:after="0"/>
              <w:ind w:hanging="254" w:left="31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10. Klasyfikacja organizmów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hanging="0" w:left="306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47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jednostki klasyfikacji biologicznej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6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nazwy królestw organizmów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left="221" w:right="19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23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czym zajmuje się systematyka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4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definicję gatunku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nazwy królestw i podaje przykłady organizmów należących do danego królestwa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0" w:right="537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24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hierarchiczną strukturę jednostek klasyfikacji biologicznej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32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charakteryzuje wskazane królestwo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ilustracji przyporządkowuje organizm do królestwa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left="221" w:right="28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36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porównuje wcześniejsze </w:t>
              <w:br/>
              <w:t>i współczesne zasady klasyfikacji organizmów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zasady nadawania nazw gatunkom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1" w:right="20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przedstawia cechy organizmów, </w:t>
              <w:br/>
              <w:t>na 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  <w:tab w:val="left" w:pos="2168" w:leader="none"/>
              </w:tabs>
              <w:suppressAutoHyphens w:val="true"/>
              <w:spacing w:lineRule="auto" w:line="235" w:before="7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uzasadnia konieczność klasyfikacji organizmów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porównuje jednostki klasyfikacji zwierząt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left="226" w:right="3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jednostkami klasyfikacji roślin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7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z pomocą nauczyciela korzysta z różnych kluczy do oznaczania organizmów żyjących </w:t>
              <w:br/>
              <w:t>w najbliższej okolicy</w:t>
            </w:r>
          </w:p>
        </w:tc>
      </w:tr>
      <w:tr>
        <w:trPr>
          <w:trHeight w:val="237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11. Wirusy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left="306" w:right="235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6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krótko, dlaczego wirusy nie są organizmami</w:t>
            </w:r>
          </w:p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miejsca występowania wirusów </w:t>
              <w:br/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  <w:tab w:val="left" w:pos="2168" w:leader="none"/>
              </w:tabs>
              <w:suppressAutoHyphens w:val="true"/>
              <w:spacing w:lineRule="auto" w:line="235" w:before="1" w:after="0"/>
              <w:ind w:hanging="170" w:left="221" w:right="34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cechy budowy wirusów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  <w:tab w:val="left" w:pos="2168" w:leader="none"/>
              </w:tabs>
              <w:suppressAutoHyphens w:val="true"/>
              <w:spacing w:lineRule="auto" w:line="235" w:before="1" w:after="0"/>
              <w:ind w:hanging="170" w:left="221" w:right="34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pacing w:val="-3"/>
                <w:kern w:val="0"/>
                <w:sz w:val="20"/>
                <w:szCs w:val="20"/>
                <w:lang w:eastAsia="en-US" w:bidi="ar-SA"/>
              </w:rPr>
              <w:t xml:space="preserve"> cechy,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którymi wirusy różnią się od organizmów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3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chorób wirusowych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left="221" w:right="1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wykazuje, dlaczego wirusy nie są organizmami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left="221" w:right="1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wybrane choroby wirusowe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1" w:after="0"/>
              <w:ind w:left="221" w:right="10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drogi wnikania wirusów do organizmu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wdrażanie zasad profilaktyki chorób wirusowych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left="220" w:right="36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uppressAutoHyphens w:val="true"/>
              <w:spacing w:before="0" w:after="0"/>
              <w:ind w:hanging="170" w:left="221" w:right="173"/>
              <w:contextualSpacing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wyszukuje informacji w materiałach edukacji zdrowotnej </w:t>
              <w:br/>
              <w:t>o zasadach  profilaktyki chorób wywoływanych przez wirusy(grypa, różyczka, świnka, odra, AIDS)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170" w:left="221" w:right="393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  <w:tr>
        <w:trPr>
          <w:trHeight w:val="2370" w:hRule="atLeast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12. Bakterie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 miejsca występowania  bakterii</w:t>
            </w:r>
          </w:p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czynności życiowe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left="226" w:right="9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52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opisuje cechy budowy  bakterii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3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przykłady bakterii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left="221" w:right="524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left="221" w:right="1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wybrane czynności życiowe bakterii</w:t>
            </w:r>
          </w:p>
          <w:p>
            <w:pPr>
              <w:pStyle w:val="Normal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uppressAutoHyphens w:val="true"/>
              <w:spacing w:before="0" w:after="0"/>
              <w:ind w:hanging="170" w:left="221" w:right="70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wyjaśnia znaczenie  bakterii </w:t>
              <w:br/>
              <w:t>w  przyrodzie i dla człowieka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left="221" w:right="10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24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wpływ bakterii na organizm człowieka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0" w:right="1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drogi wnikania bakterii do organizmu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left="220" w:right="21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prezentuje wszystkie czynności życiowe bakterii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0" w:right="24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ocenia znaczenie  bakterii</w:t>
              <w:br/>
              <w:t>w przyrodzie i dla człowieka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omawia choroby </w:t>
              <w:br/>
              <w:t xml:space="preserve"> bakteryjne,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drogi ich przenoszenia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przedstawia zasady zapobiegania tym chorobom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ocenia znaczenie  bakterii</w:t>
              <w:br/>
              <w:t>w przyrodzie i dla człowieka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2168" w:leader="none"/>
              </w:tabs>
              <w:suppressAutoHyphens w:val="true"/>
              <w:spacing w:lineRule="auto" w:line="235" w:before="65" w:after="0"/>
              <w:ind w:left="220" w:right="10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</w:tbl>
    <w:p>
      <w:pPr>
        <w:sectPr>
          <w:type w:val="continuous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7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vMerge w:val="continue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3009" w:hRule="atLeast"/>
        </w:trPr>
        <w:tc>
          <w:tcPr>
            <w:tcW w:w="624" w:type="dxa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III. Wirusy, bakterie i grzyby</w:t>
            </w:r>
          </w:p>
        </w:tc>
        <w:tc>
          <w:tcPr>
            <w:tcW w:w="1781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206" w:before="67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13. Budowa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left="31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różnorodność grzybów. Porosty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0" w:left="221" w:right="193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6" w:right="18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środowiska życia grzybów </w:t>
              <w:br/>
              <w:t>i porostów</w:t>
            </w:r>
          </w:p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23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grzybów i porostów</w:t>
            </w:r>
          </w:p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6" w:right="31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okazu naturalnego lub ilustracji opisuje budowę grzybów</w:t>
            </w:r>
          </w:p>
          <w:p>
            <w:pPr>
              <w:pStyle w:val="Normal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8" w:before="1" w:after="0"/>
              <w:ind w:hanging="170" w:left="226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>wymienia sposoby rozmnażania się grzybów</w:t>
            </w:r>
          </w:p>
          <w:p>
            <w:pPr>
              <w:pStyle w:val="Normal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left="226" w:right="2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porosty wśród innych organizmów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6" w:right="7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cechy pozwalające zaklasyfikować organizm do grzybów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13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wskazaną czynność życiową grzybów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6" w:right="17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podaje przykłady znaczenia grzybów </w:t>
              <w:br/>
              <w:t>w przyrodzie i dla człowieka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left="221" w:right="27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6" w:right="5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wykazuje znaczenie grzybów w przyrodzie </w:t>
              <w:br/>
              <w:t>i dla człowieka</w:t>
            </w:r>
          </w:p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6" w:right="27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analizuje różnorodność budowy grzybów</w:t>
            </w:r>
          </w:p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6" w:right="5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wyjaśnia sposoby oddychania </w:t>
              <w:br/>
              <w:t>i odżywiania się grzybów</w:t>
            </w:r>
          </w:p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wykazuje, że porosty są zbudowane z grzybni </w:t>
              <w:br/>
              <w:t>i glonu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21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określa znaczenie poszczególnych komponentów w budowie plechy porostu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1" w:right="344"/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różne formy morfologiczne porostów i podaje ich nazwy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8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opisuje czynności życiowe grzybów – odżywianie, oddychanie </w:t>
              <w:br/>
              <w:t xml:space="preserve">i </w:t>
            </w:r>
            <w:r>
              <w:rPr>
                <w:rFonts w:cs="Calibri" w:ascii="Calibri" w:hAnsi="Calibri" w:asciiTheme="minorHAnsi" w:cstheme="minorHAnsi" w:hAnsiTheme="minorHAnsi"/>
                <w:i/>
                <w:color w:val="000000"/>
                <w:kern w:val="0"/>
                <w:sz w:val="20"/>
                <w:szCs w:val="20"/>
                <w:lang w:eastAsia="en-US" w:bidi="ar-SA"/>
              </w:rPr>
              <w:t>rozmnażanie się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1" w:right="2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2"/>
                <w:kern w:val="0"/>
                <w:sz w:val="20"/>
                <w:szCs w:val="20"/>
                <w:lang w:eastAsia="en-US" w:bidi="ar-SA"/>
              </w:rPr>
              <w:t xml:space="preserve">analizuje znaczenie grzybów w przyrodzie </w:t>
              <w:br/>
              <w:t>i dla człowieka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left="226" w:right="2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2"/>
                <w:kern w:val="0"/>
                <w:sz w:val="20"/>
                <w:szCs w:val="20"/>
                <w:lang w:eastAsia="en-US" w:bidi="ar-SA"/>
              </w:rPr>
              <w:t xml:space="preserve">proponuje sposób </w:t>
              <w:br/>
              <w:t xml:space="preserve">badania czystości powietrza na podstawie informacji o wrażliwości porostów </w:t>
              <w:br/>
              <w:t>na zanieczyszczenia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2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pacing w:val="2"/>
                <w:kern w:val="0"/>
                <w:sz w:val="20"/>
                <w:szCs w:val="20"/>
                <w:lang w:eastAsia="en-US" w:bidi="ar-SA"/>
              </w:rPr>
              <w:t>wyjaśnia, dlaczego porosty określa się mianem organizmów pionierskich</w:t>
            </w:r>
          </w:p>
        </w:tc>
      </w:tr>
      <w:tr>
        <w:trPr>
          <w:trHeight w:val="2020" w:hRule="atLeast"/>
        </w:trPr>
        <w:tc>
          <w:tcPr>
            <w:tcW w:w="624" w:type="dxa"/>
            <w:tcBorders>
              <w:top w:val="single" w:sz="6" w:space="0" w:color="BCBEC0"/>
              <w:left w:val="single" w:sz="4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258" w:left="313" w:right="19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15. Korzeń – organ podziemny rośliny</w:t>
            </w:r>
          </w:p>
          <w:p>
            <w:pPr>
              <w:pStyle w:val="Normal"/>
              <w:widowControl w:val="false"/>
              <w:suppressAutoHyphens w:val="tru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45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podstawowe funkcje korzenia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8" w:before="0" w:after="0"/>
              <w:ind w:hanging="170" w:left="221" w:right="27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systemy korzeniowe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62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budowę zewnętrzną korzenia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1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 poszczególne strefy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związek korzenia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left="225" w:right="14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adaptacją do środowiska zajmowanego przez roślinę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left="217" w:right="6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opisuje przyrost korzenia </w:t>
              <w:br/>
              <w:t>na długość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0" w:after="0"/>
              <w:ind w:hanging="170" w:left="225" w:right="18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przystosowania korzenia do  pobierania wody przez roślin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0" w:after="0"/>
              <w:ind w:hanging="170" w:left="225" w:right="18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omawia teoretycznie doświadczenie świadczące o przewodzeniu wody </w:t>
              <w:br/>
              <w:t>z korzenia w górę rośliny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0" w:after="0"/>
              <w:ind w:left="22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1" w:right="11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projektuje doświadczenie świadczące o przewodzeniu wody </w:t>
              <w:br/>
              <w:t>z korzenia w górę rośliny</w:t>
            </w:r>
          </w:p>
        </w:tc>
      </w:tr>
    </w:tbl>
    <w:p>
      <w:pPr>
        <w:sectPr>
          <w:footerReference w:type="even" r:id="rId5"/>
          <w:footerReference w:type="default" r:id="rId6"/>
          <w:footerReference w:type="first" r:id="rId7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1586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206" w:before="62" w:after="0"/>
              <w:ind w:lef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16. Pęd. Budowa</w:t>
            </w:r>
          </w:p>
          <w:p>
            <w:pPr>
              <w:pStyle w:val="Normal"/>
              <w:widowControl w:val="false"/>
              <w:suppressAutoHyphens w:val="true"/>
              <w:spacing w:lineRule="exact" w:line="206" w:before="0" w:after="0"/>
              <w:ind w:left="31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funkcje łodygi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left="306" w:right="44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nazwy elementów budowy zewnętrznej łodygi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6" w:before="0" w:after="0"/>
              <w:ind w:hanging="170" w:left="221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funkcje łodygi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left="51" w:right="125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38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różnicę między pędem a łodygą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9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części pędu roślin zielnych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left="221" w:right="7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4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funkcje poszczególnych elementów pędu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left="221" w:right="154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9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żywym okazie </w:t>
              <w:br/>
              <w:t xml:space="preserve">lub ilustracji wskazuje </w:t>
              <w:br/>
              <w:t>i omawia części łodygi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9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budowę  zewnętrzną łodygi różnych form morfologicznych  (roślin zielnych, krzewów, drzew)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4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żywych  okazach  </w:t>
              <w:br/>
              <w:t>lub ilustracji wykazuje podobieństwa i różnice   przystosowania łodygi różnych form morfologicznych (roślin zielnych, krzewów, drzew) do pełnionych funkcji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  <w:tr>
        <w:trPr>
          <w:trHeight w:val="1406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258" w:left="312" w:right="28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17. Liść – wytwórnia pokarmu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left="306" w:right="235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18" w:right="37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elementy budowy liścia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left="218" w:right="85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6" w:before="6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funkcje liści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3" w:after="0"/>
              <w:ind w:left="225" w:right="30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5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left="220" w:right="24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liście pojedyncze i liście złożone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6" w:before="6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związek budowy z funkcjami  liści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left="22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0" w:left="0" w:right="5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materiale zielnikowym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right="5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      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lub  ilustracji wykazuje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right="5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     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różnorodność  budowy liści</w:t>
            </w:r>
          </w:p>
        </w:tc>
      </w:tr>
      <w:tr>
        <w:trPr>
          <w:trHeight w:val="2773" w:hRule="atLeast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V. Różnorodność i jedność roślin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7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18. Mchy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258" w:left="312" w:right="284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18" w:right="13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podstawie ilustracji </w:t>
              <w:br/>
              <w:t>lub żywych okazów rozpoznaje mchy wśród innych roślin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18" w:right="50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miejsca występowania mchów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  <w:tab w:val="left" w:pos="1595" w:leader="none"/>
              </w:tabs>
              <w:suppressAutoHyphens w:val="true"/>
              <w:spacing w:lineRule="auto" w:line="235" w:before="70" w:after="0"/>
              <w:ind w:hanging="170" w:left="218" w:right="2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wskazuje nazwy elementów budowy mchów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18" w:right="17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przeprowadza doświadczenie wykazujące zdolność wchłaniania wody przez mchy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right="296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6" w:right="13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podstawie ilustracji </w:t>
              <w:br/>
              <w:t>lub żywych okazów rozpoznaje elementy budowy mchów</w:t>
            </w:r>
          </w:p>
          <w:p>
            <w:pPr>
              <w:pStyle w:val="Normal"/>
              <w:widowControl w:val="false"/>
              <w:suppressAutoHyphens w:val="true"/>
              <w:spacing w:lineRule="exact" w:line="205" w:before="0" w:after="0"/>
              <w:ind w:left="2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wyjaśnia ich funkcje</w:t>
            </w:r>
          </w:p>
          <w:p>
            <w:pPr>
              <w:pStyle w:val="Normal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1" w:after="0"/>
              <w:ind w:hanging="170" w:left="226" w:right="17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0" w:right="9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dlaczego mchy uważane są za najprostsze rośliny lądowe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3" w:after="0"/>
              <w:ind w:hanging="170" w:left="220" w:right="1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przeprowadza według opisu doświadczenie wykazujące zdolność wchłaniania wody przez mchy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samodzielnie planuje </w:t>
              <w:br/>
              <w:t>i przeprowadza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left="226" w:right="17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doświadczenie wykazujące zdolność wchłaniania wody przez mchy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left="226" w:right="54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  <w:tr>
        <w:trPr>
          <w:trHeight w:val="1256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19. Paprociowe</w:t>
            </w:r>
          </w:p>
          <w:p>
            <w:pPr>
              <w:pStyle w:val="Normal"/>
              <w:widowControl w:val="false"/>
              <w:suppressAutoHyphens w:val="true"/>
              <w:spacing w:before="67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18" w:right="14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podstawie ilustracji </w:t>
              <w:br/>
              <w:t>lub żywych okazów rozpoznaje paprocie  wśród innych roślin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right="13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18" w:right="45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nazwy organów paproci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18" w:right="9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miejsca występowania paprociowych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left="218" w:right="45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left="226" w:right="76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18" w:right="31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rolę poszczególnych organów paproci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18" w:right="31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rozpoznaje na ilustracji </w:t>
              <w:br/>
              <w:t>w podręczniku jedną paproć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8" w:before="1" w:after="0"/>
              <w:ind w:left="218" w:right="100"/>
              <w:jc w:val="left"/>
              <w:rPr>
                <w:rFonts w:ascii="Calibri" w:hAnsi="Calibri" w:cs="Calibri" w:asciiTheme="minorHAnsi" w:cstheme="minorHAnsi" w:hAnsiTheme="minorHAnsi"/>
                <w:i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i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18" w:right="20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wyjaśnia znaczenie paprociowych  </w:t>
              <w:br/>
              <w:t>w przyrodzie i dla człowieka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18" w:right="31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na ilustracji w podręczniku dwie paprocie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left="218" w:right="20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left="218" w:right="42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na podstawie ilustracji lub żywych okazów różnorodność paprociowych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18" w:right="31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rozpoznaje na ilustracji </w:t>
              <w:br/>
              <w:t>w podręczniku trzy paprocie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left="218" w:right="30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</w:tbl>
    <w:p>
      <w:pPr>
        <w:sectPr>
          <w:footerReference w:type="even" r:id="rId8"/>
          <w:footerReference w:type="default" r:id="rId9"/>
          <w:footerReference w:type="first" r:id="rId10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5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0"/>
        <w:gridCol w:w="2267"/>
        <w:gridCol w:w="2270"/>
        <w:gridCol w:w="2268"/>
        <w:gridCol w:w="2267"/>
        <w:gridCol w:w="2280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613" w:right="613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Temat</w:t>
            </w:r>
          </w:p>
        </w:tc>
        <w:tc>
          <w:tcPr>
            <w:tcW w:w="1135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left="4975" w:right="4975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0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3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dopuszczająca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418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65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36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bardzo dobra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left="57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ocena celująca</w:t>
            </w:r>
          </w:p>
        </w:tc>
      </w:tr>
      <w:tr>
        <w:trPr>
          <w:trHeight w:val="1419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170" w:left="17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eastAsia="en-US" w:bidi="ar-SA"/>
              </w:rPr>
              <w:t>V. Różnorodność roślin</w:t>
            </w:r>
          </w:p>
        </w:tc>
        <w:tc>
          <w:tcPr>
            <w:tcW w:w="17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20. Nagonasienne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left="309" w:right="14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miejsca występowania roślin nagonasiennych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14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na podstawie ilustracji lub żywych okazów rośliny nagonasienne wśród innych roślin</w:t>
            </w:r>
          </w:p>
        </w:tc>
        <w:tc>
          <w:tcPr>
            <w:tcW w:w="227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  <w:tab w:val="left" w:pos="2268" w:leader="none"/>
              </w:tabs>
              <w:suppressAutoHyphens w:val="true"/>
              <w:spacing w:lineRule="auto" w:line="235" w:before="65" w:after="0"/>
              <w:ind w:hanging="170" w:left="221" w:right="30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funkcje kwiatów i nasion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1" w:right="6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omawia budowę rośliny nagonasiennej </w:t>
              <w:br/>
              <w:t>na przykładzie sosny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left="51" w:right="18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5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przystosowania roślin nagonasiennych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6" w:before="0" w:after="0"/>
              <w:ind w:left="22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do warunków życia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left="221" w:right="184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przystosowania roślin nagonasiennych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do środowiska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znaczenie roślin nagonasiennych</w:t>
              <w:br/>
              <w:t>w przyrodzie i dla człowieka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left="221" w:right="33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left="225" w:right="13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rodzime gatunki roślin nagonasiennych</w:t>
            </w:r>
          </w:p>
          <w:p>
            <w:pPr>
              <w:pStyle w:val="Normal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left="225" w:right="16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określa, z jakiego gatunku drzewa lub krzewu pochodzi wskazana szyszka</w:t>
            </w:r>
          </w:p>
        </w:tc>
      </w:tr>
      <w:tr>
        <w:trPr>
          <w:trHeight w:val="234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lef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21. Okrytonasienne</w:t>
            </w:r>
          </w:p>
          <w:p>
            <w:pPr>
              <w:pStyle w:val="TableParagraph"/>
              <w:widowControl w:val="false"/>
              <w:suppressAutoHyphens w:val="true"/>
              <w:spacing w:before="57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miejsca występowania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1" w:right="14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ilustracji lub żywych okazów rozpoznaje rośliny okrytonasienne wśród innych roślin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left="221" w:right="288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podstawie ilustracji, żywego lub zielnikowego okazu roślinnego wykazuje różnorodność form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4" w:after="0"/>
              <w:ind w:hanging="170" w:left="221" w:right="28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nazwy elementów budowy kwiatu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4" w:after="0"/>
              <w:ind w:hanging="170" w:left="221" w:right="28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na ilustracji lub żywym okazie rozpoznaje organy roślinne i wymienia ich funkcje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4" w:after="0"/>
              <w:ind w:left="221" w:right="28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uppressAutoHyphens w:val="true"/>
              <w:spacing w:lineRule="auto" w:line="235" w:before="3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rozpoznaje formy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uppressAutoHyphens w:val="true"/>
              <w:spacing w:lineRule="auto" w:line="235" w:before="3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odróżnia kwiat od kwiatostanu</w:t>
              <w:br/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left="221" w:right="225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170" w:left="221" w:right="14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omawia funkcje poszczególnych elementów kwiatu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uppressAutoHyphens w:val="true"/>
              <w:spacing w:lineRule="auto" w:line="235" w:before="2" w:after="0"/>
              <w:ind w:hanging="170" w:left="221" w:right="13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wyjaśnia, dlaczego kwiatostany ułatwiają zapylanie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hanging="0" w:left="22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170" w:left="224" w:right="21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rolę elementów kwiatu w rozmnażaniu roślin</w:t>
            </w:r>
          </w:p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170" w:left="224" w:right="212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związek budowy kwiatu ze sposobem zapylania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left="22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</w:tr>
      <w:tr>
        <w:trPr>
          <w:trHeight w:val="16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70" w:after="0"/>
              <w:ind w:hanging="258" w:left="31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22. Owoc. Rozprzestrzenianie się roślin okrytonasiennych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67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rodzaje owoców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left="220" w:right="19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przedstawia sposoby rozprzestrzeniania się owoców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left="220" w:right="197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0" w:right="19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na podstawie ilustracji </w:t>
              <w:br/>
              <w:t>lub żywych okazów omawia budowę owoców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wymienia rodzaje owoców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left="226" w:right="52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0" w:right="511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wykazuje zmiany zachodzące w kwiecie po zapyleniu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określa rolę owocni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 klasyfikacji owoców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0" w:right="117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wykazuje adaptacje budowy owoców </w:t>
              <w:br/>
              <w:t>do sposobów ich rozprzestrzeniania się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left="220" w:right="244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wyjaśnia wpływ różnych czynników na kiełkowanie nasion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0" w:right="93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planuje i przeprowadza doświadczenie wykazujące wpływ wody na kiełkowanie nasion</w:t>
            </w:r>
          </w:p>
        </w:tc>
      </w:tr>
      <w:tr>
        <w:trPr>
          <w:trHeight w:val="1909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206" w:before="62" w:after="0"/>
              <w:ind w:left="56" w:right="-9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23. Znaczenie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left="313" w:right="-99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i przegląd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70" w:after="0"/>
              <w:ind w:hanging="258" w:left="314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left="226" w:right="1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wymienia znaczenie roślin okrytonasiennych </w:t>
              <w:br/>
              <w:t>w przyrodzie</w:t>
            </w:r>
          </w:p>
          <w:p>
            <w:pPr>
              <w:pStyle w:val="Normal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left="226" w:right="5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pomocą nauczyciela klasyfikuje nieznaną roślinę do odpowiedniej grupy</w:t>
            </w:r>
          </w:p>
        </w:tc>
        <w:tc>
          <w:tcPr>
            <w:tcW w:w="227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podaje przykłady znaczenia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6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dla człowieka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z niewielką pomocą nauczyciela klasyfikuje nieznaną roślinę do odpowiedniej grupy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ocenia znaczenie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w przyrodzie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klasyfikuje nieznaną roślinę do odpowiedniej grupy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  <w:tab w:val="left" w:pos="1791" w:leader="none"/>
              </w:tabs>
              <w:suppressAutoHyphens w:val="true"/>
              <w:spacing w:lineRule="auto" w:line="235" w:before="3" w:after="0"/>
              <w:ind w:left="220" w:right="49"/>
              <w:jc w:val="left"/>
              <w:rPr>
                <w:rFonts w:ascii="Calibri" w:hAnsi="Calibri" w:cs="Calibri" w:asciiTheme="minorHAnsi" w:cstheme="minorHAnsi" w:hAnsiTheme="minorHAnsi"/>
                <w:color w:val="000000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color w:val="000000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ocenia znaczenie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left="225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dla człowieka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przy pomocy nauczyciela korzysta z prostego klucza lub aplikacji mobilnej </w:t>
              <w:br/>
              <w:t>do oznaczania organizmów żyjących w najbliższej okolicy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0" w:right="1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>sprawnie korzysta z prostego klucza lub aplikacji mobilnej do oznaczania organizmów żyjących w najbliższej okolicy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left="220" w:right="100"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eastAsia="en-US" w:bidi="ar-SA"/>
              </w:rPr>
              <w:t xml:space="preserve">wykazuje na dowolnych przykładach różnorodność roślin okrytonasiennych </w:t>
              <w:br/>
              <w:t>i ich znaczenie</w:t>
            </w:r>
          </w:p>
        </w:tc>
      </w:tr>
    </w:tbl>
    <w:p>
      <w:pPr>
        <w:pStyle w:val="Normal"/>
        <w:spacing w:lineRule="auto" w:line="235"/>
        <w:rPr>
          <w:rFonts w:ascii="Calibri" w:hAnsi="Calibri" w:cs="Calibri" w:asciiTheme="minorHAnsi" w:cstheme="minorHAnsi" w:hAnsiTheme="minorHAnsi"/>
          <w:color w:val="000000"/>
          <w:sz w:val="20"/>
          <w:szCs w:val="20"/>
        </w:rPr>
      </w:pPr>
      <w:r>
        <w:rPr>
          <w:rFonts w:cs="Calibri" w:cstheme="minorHAnsi" w:ascii="Calibri" w:hAnsi="Calibri"/>
          <w:color w:val="000000"/>
          <w:sz w:val="20"/>
          <w:szCs w:val="20"/>
        </w:rPr>
      </w:r>
    </w:p>
    <w:p>
      <w:pPr>
        <w:pStyle w:val="Normal"/>
        <w:spacing w:before="15" w:after="0"/>
        <w:ind w:left="142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color w:val="000000"/>
          <w:sz w:val="20"/>
          <w:szCs w:val="20"/>
        </w:rPr>
        <w:t>* Zagadnienia spoza podstawy programowej oznaczono kursywą.</w:t>
      </w:r>
    </w:p>
    <w:sectPr>
      <w:footerReference w:type="even" r:id="rId11"/>
      <w:footerReference w:type="default" r:id="rId12"/>
      <w:footerReference w:type="first" r:id="rId13"/>
      <w:type w:val="nextPage"/>
      <w:pgSz w:orient="landscape" w:w="15600" w:h="11630"/>
      <w:pgMar w:left="720" w:right="720" w:gutter="0" w:header="0" w:top="720" w:footer="708" w:bottom="765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Humanst521EU-Norm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wis721BlkCnEU-Italic">
    <w:charset w:val="ee"/>
    <w:family w:val="roman"/>
    <w:pitch w:val="variable"/>
  </w:font>
  <w:font w:name="Humanst521EU-Normal">
    <w:charset w:val="01"/>
    <w:family w:val="auto"/>
    <w:pitch w:val="default"/>
  </w:font>
  <w:font w:name="Humanst521EU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218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6" w:hanging="170"/>
      </w:pPr>
      <w:rPr>
        <w:rFonts w:ascii="Symbol" w:hAnsi="Symbol" w:cs="Symbol" w:hint="default"/>
      </w:rPr>
    </w:lvl>
  </w:abstractNum>
  <w:abstractNum w:abstractNumId="2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2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1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2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3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4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5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7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8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1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2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3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4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5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09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9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89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7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69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5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8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08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9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86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7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64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5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1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0" w:hanging="170"/>
      </w:pPr>
      <w:rPr>
        <w:rFonts w:ascii="Symbol" w:hAnsi="Symbol" w:cs="Symbol" w:hint="default"/>
      </w:rPr>
    </w:lvl>
  </w:abstractNum>
  <w:abstractNum w:abstractNumId="48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w="http://schemas.openxmlformats.org/wordprocessingml/2006/main">
  <w:zoom w:percent="129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suppressAutoHyphens w:val="true"/>
      <w:bidi w:val="0"/>
      <w:spacing w:before="0" w:after="0"/>
      <w:jc w:val="lef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WW8Num7z0">
    <w:name w:val="WW8Num7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left="22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6">
    <w:name w:val="WW8Num6"/>
    <w:qFormat/>
  </w:style>
  <w:style w:type="numbering" w:styleId="WW8Num5">
    <w:name w:val="WW8Num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LibreOffice/26.2.6.3$Windows_X86_64 LibreOffice_project/8221e31b3ac356a1623c672912a3d2b492f7e3d1</Application>
  <AppVersion>15.0000</AppVersion>
  <Pages>7</Pages>
  <Words>2603</Words>
  <Characters>15618</Characters>
  <CharactersWithSpaces>18185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dc:description/>
  <dc:language>pl-PL</dc:language>
  <cp:lastModifiedBy/>
  <dcterms:modified xsi:type="dcterms:W3CDTF">2026-10-04T19:52:21Z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