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right="119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cstheme="minorHAnsi"/>
          <w:b/>
          <w:color w:val="000000"/>
          <w:sz w:val="20"/>
          <w:szCs w:val="20"/>
          <w:shd w:fill="FFFFFF" w:val="clear"/>
        </w:rPr>
        <w:t>Wymagania edukacyjne z biologii dla klasy 6 szkoły podstawowej opracowane w oparciu o: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Podstawę programową;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Rozporządzenie MEN  w sprawie oceniania, klasyfikowania i promowania uczniów;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Statut;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Program nauczania biologii ,,Puls Życia” Nowa Era</w:t>
      </w:r>
    </w:p>
    <w:p>
      <w:pPr>
        <w:pStyle w:val="Normal"/>
        <w:ind w:left="360" w:right="0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1. Ocenianie wiadomości i umiejętności: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5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Oceniamy:</w:t>
      </w:r>
    </w:p>
    <w:p>
      <w:pPr>
        <w:pStyle w:val="Normal"/>
        <w:widowControl w:val="false"/>
        <w:suppressAutoHyphens w:val="true"/>
        <w:bidi w:val="0"/>
        <w:spacing w:before="0" w:after="0"/>
        <w:ind w:hanging="737" w:left="737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a. wiadomości przedmiotowe: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Zgodnie z programem nauczania i kryteriami wynikającymi z podstaw programowych.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b. umiejętności przedmiotowe: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planowanie prostych eksperymentów,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analizowanie i interpretowanie wyników obserwacji i eksperymentów,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gromadzenie danych,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dostrzeganie związków przyczynowo – skutkowych,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porównywanie i wnioskowanie,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wykonywanie prostych wykresów, diagramów i ich interpretowanie,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posługiwanie się środkami technicznymi,</w:t>
      </w:r>
    </w:p>
    <w:p>
      <w:pPr>
        <w:pStyle w:val="Normal"/>
        <w:numPr>
          <w:ilvl w:val="0"/>
          <w:numId w:val="4"/>
        </w:num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korzystanie z różnych źródeł informacji.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c. postawę ucznia i jego aktywność: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pracę w grupie,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dyskusję,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aktywność na lekcji,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1080" w:leader="none"/>
        </w:tabs>
        <w:ind w:firstLine="360" w:left="72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odpowiedzialność za podjęte zadania, kreatywność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1080" w:leader="none"/>
        </w:tabs>
        <w:suppressAutoHyphens w:val="true"/>
        <w:bidi w:val="0"/>
        <w:spacing w:before="0" w:after="0"/>
        <w:ind w:hanging="737" w:left="0" w:right="0"/>
        <w:jc w:val="left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   </w:t>
      </w:r>
      <w:r>
        <w:rPr>
          <w:rFonts w:ascii="Calibri" w:hAnsi="Calibri"/>
          <w:b/>
          <w:bCs/>
          <w:color w:val="000000"/>
          <w:sz w:val="20"/>
          <w:szCs w:val="20"/>
        </w:rPr>
        <w:t>2</w:t>
      </w:r>
      <w:r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b/>
          <w:color w:val="000000"/>
          <w:sz w:val="20"/>
          <w:szCs w:val="20"/>
        </w:rPr>
        <w:t>Formy podlegające ocenie:</w:t>
      </w:r>
    </w:p>
    <w:p>
      <w:pPr>
        <w:pStyle w:val="Normal"/>
        <w:ind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 xml:space="preserve">a. odpowiedzi ustne 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b. formy pisemne:</w:t>
        <w:br/>
        <w:t xml:space="preserve">- </w:t>
      </w:r>
      <w:r>
        <w:rPr>
          <w:rFonts w:ascii="Calibri" w:hAnsi="Calibri"/>
          <w:color w:val="000000"/>
          <w:sz w:val="20"/>
          <w:szCs w:val="20"/>
        </w:rPr>
        <w:t>kartkówki obejmuj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materiał z trzech ostatnich lekcji (nie musz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by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ć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wcze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ś</w:t>
      </w:r>
      <w:r>
        <w:rPr>
          <w:rFonts w:ascii="Calibri" w:hAnsi="Calibri"/>
          <w:color w:val="000000"/>
          <w:sz w:val="20"/>
          <w:szCs w:val="20"/>
        </w:rPr>
        <w:t>niej zapowiedziane),</w:t>
        <w:br/>
        <w:t>- testy, sprawdziany podsumowuj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poszczególne działy (zapowiedziane z tygodniowym wyprzedzeniem),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Przyłapanie ucznia na niesamodzielnej pracy podczas kartkówki, na sprawdzianie lub teście wiąże się z otrzymaniem oceny niedostatecznej oraz zakończeniem pracy. </w:t>
        <w:br/>
        <w:t>Przez niesamodzielną pracę należy rozumieć min.: odwracanie się, rozmawianie, odpisywanie, przepisywanie, itp.</w:t>
      </w:r>
    </w:p>
    <w:p>
      <w:pPr>
        <w:pStyle w:val="Normal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c. wkład pracy w przyswojenie wiedzy na lekcji bie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>żą</w:t>
      </w:r>
      <w:r>
        <w:rPr>
          <w:rFonts w:ascii="Calibri" w:hAnsi="Calibri"/>
          <w:b/>
          <w:color w:val="000000"/>
          <w:sz w:val="20"/>
          <w:szCs w:val="20"/>
        </w:rPr>
        <w:t xml:space="preserve">cej (krótkie wypowiedzi na lekcji, praca </w:t>
        <w:br/>
        <w:t>w grupie, obserwacja do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wiadcze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ń</w:t>
      </w:r>
      <w:r>
        <w:rPr>
          <w:rFonts w:eastAsia="TimesNewRoman;Times New Roman"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b/>
          <w:color w:val="000000"/>
          <w:sz w:val="20"/>
          <w:szCs w:val="20"/>
        </w:rPr>
        <w:t>i wyci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ą</w:t>
      </w:r>
      <w:r>
        <w:rPr>
          <w:rFonts w:ascii="Calibri" w:hAnsi="Calibri"/>
          <w:b/>
          <w:color w:val="000000"/>
          <w:sz w:val="20"/>
          <w:szCs w:val="20"/>
        </w:rPr>
        <w:t>ganie wniosków itp.).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d. umiej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ę</w:t>
      </w:r>
      <w:r>
        <w:rPr>
          <w:rFonts w:ascii="Calibri" w:hAnsi="Calibri"/>
          <w:b/>
          <w:color w:val="000000"/>
          <w:sz w:val="20"/>
          <w:szCs w:val="20"/>
        </w:rPr>
        <w:t>tno</w:t>
      </w:r>
      <w:r>
        <w:rPr>
          <w:rFonts w:eastAsia="TimesNewRoman;Times New Roman" w:hint="eastAsia" w:ascii="Calibri" w:hAnsi="Calibri"/>
          <w:b/>
          <w:color w:val="000000"/>
          <w:sz w:val="20"/>
          <w:szCs w:val="20"/>
        </w:rPr>
        <w:t>ś</w:t>
      </w:r>
      <w:r>
        <w:rPr>
          <w:rFonts w:ascii="Calibri" w:hAnsi="Calibri"/>
          <w:b/>
          <w:color w:val="000000"/>
          <w:sz w:val="20"/>
          <w:szCs w:val="20"/>
        </w:rPr>
        <w:t>ci doskonalone w szkole/ domu (projekty).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f. prace dodatkowe</w:t>
      </w:r>
      <w:r>
        <w:rPr>
          <w:rFonts w:ascii="Calibri" w:hAnsi="Calibri"/>
          <w:color w:val="000000"/>
          <w:sz w:val="20"/>
          <w:szCs w:val="20"/>
        </w:rPr>
        <w:t xml:space="preserve"> (opracowanie referatu, pomocy multimedialnych na zadany temat, opracowania oparte na innych 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ź</w:t>
      </w:r>
      <w:r>
        <w:rPr>
          <w:rFonts w:ascii="Calibri" w:hAnsi="Calibri"/>
          <w:color w:val="000000"/>
          <w:sz w:val="20"/>
          <w:szCs w:val="20"/>
        </w:rPr>
        <w:t>ródłach niż</w:t>
      </w:r>
      <w:r>
        <w:rPr>
          <w:rFonts w:eastAsia="TimesNewRoman;Times New Roman"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podr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ę</w:t>
      </w:r>
      <w:r>
        <w:rPr>
          <w:rFonts w:ascii="Calibri" w:hAnsi="Calibri"/>
          <w:color w:val="000000"/>
          <w:sz w:val="20"/>
          <w:szCs w:val="20"/>
        </w:rPr>
        <w:t>cznik, plansze, rysunki, okazy wzbogacaj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ce zbiory itp.) – uczeń otrzymuje ocenę  w skali celuj</w:t>
      </w:r>
      <w:r>
        <w:rPr>
          <w:rFonts w:eastAsia="TimesNewRoman;Times New Roman" w:hint="eastAsia" w:ascii="Calibri" w:hAnsi="Calibri"/>
          <w:color w:val="000000"/>
          <w:sz w:val="20"/>
          <w:szCs w:val="20"/>
        </w:rPr>
        <w:t>ą</w:t>
      </w:r>
      <w:r>
        <w:rPr>
          <w:rFonts w:ascii="Calibri" w:hAnsi="Calibri"/>
          <w:color w:val="000000"/>
          <w:sz w:val="20"/>
          <w:szCs w:val="20"/>
        </w:rPr>
        <w:t>cy – bardzo dobry – dobry – dostateczny – dopuszczający.</w:t>
      </w:r>
    </w:p>
    <w:p>
      <w:pPr>
        <w:pStyle w:val="Normal"/>
        <w:jc w:val="both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g. za czynny udział w zajęciach pozalekcyjnych</w:t>
      </w:r>
      <w:r>
        <w:rPr>
          <w:rFonts w:ascii="Calibri" w:hAnsi="Calibri"/>
          <w:color w:val="000000"/>
          <w:sz w:val="20"/>
          <w:szCs w:val="20"/>
        </w:rPr>
        <w:t xml:space="preserve"> związanych z poszerzaniem  i gruntowaniem wiadomości uczeń otrzymuje dodatkowe oceny (także celujące).</w:t>
        <w:br/>
        <w:br/>
        <w:br/>
      </w:r>
      <w:r>
        <w:rPr>
          <w:rFonts w:ascii="Calibri" w:hAnsi="Calibri"/>
          <w:b/>
          <w:bCs/>
          <w:color w:val="000000"/>
          <w:sz w:val="20"/>
          <w:szCs w:val="20"/>
        </w:rPr>
        <w:t>3</w:t>
      </w:r>
      <w:r>
        <w:rPr>
          <w:rFonts w:ascii="Calibri" w:hAnsi="Calibri"/>
          <w:b/>
          <w:color w:val="000000"/>
          <w:sz w:val="20"/>
          <w:szCs w:val="20"/>
        </w:rPr>
        <w:t>. Wymagania ogólne na poszczególne stopnie:</w:t>
      </w:r>
    </w:p>
    <w:p>
      <w:pPr>
        <w:pStyle w:val="Normal"/>
        <w:ind w:left="360" w:right="0"/>
        <w:rPr>
          <w:rFonts w:ascii="Calibri" w:hAnsi="Calibri"/>
          <w:b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celujący</w:t>
      </w:r>
      <w:r>
        <w:rPr>
          <w:rFonts w:ascii="Calibri" w:hAnsi="Calibri"/>
          <w:color w:val="000000"/>
          <w:sz w:val="20"/>
          <w:szCs w:val="20"/>
        </w:rPr>
        <w:t>, gdy uczeń opanował treści obejmujące pełen zakres kształcenia oraz posiada wiedzę i umiejętności,  również wykraczające poza program nauczania dla danej klasy, potrafi selekcjonować i hierarchizować wiadomości, z powodzeniem bierze udział w konkursach i olimpiadach przedmiotowych, pod okiem nauczyciela prowadzi własne prace badawcze, aktywnie uczestniczy w zajęciach stosuje oraz wiadomości  w sytuacjach trudnych;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bardzo dobry</w:t>
      </w:r>
      <w:r>
        <w:rPr>
          <w:rFonts w:ascii="Calibri" w:hAnsi="Calibri"/>
          <w:color w:val="000000"/>
          <w:sz w:val="20"/>
          <w:szCs w:val="20"/>
        </w:rPr>
        <w:t xml:space="preserve">, gdy uczeń opanował treści obejmujące pełen zakres kształcenia, umie samodzielnie interpretować zjawiska,  odpowiedź jest wyczerpująca, bezbłędna, samodzielna, uwzględniająca język przedmiotowy   i adekwatna do poziomu wymagań na ocenę bardzo dobrą, aktywnie uczestniczy </w:t>
        <w:br/>
        <w:t>w zajęciach oraz stosuje wiadomości  w sytuacjach trudniejszych;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dobry</w:t>
      </w:r>
      <w:r>
        <w:rPr>
          <w:rFonts w:ascii="Calibri" w:hAnsi="Calibri"/>
          <w:color w:val="000000"/>
          <w:sz w:val="20"/>
          <w:szCs w:val="20"/>
        </w:rPr>
        <w:t xml:space="preserve">, gdy odpowiedź jest samodzielna, z niewielkimi usterkami językowymi, zgodna z wymaganiami na ocenę dobrą, uczeń właściwie stosuje terminologię przedmiotową, aktywnie uczestniczy w zajęciach oraz stosuje wiadomości w sytuacjach typowych, rozwiązuje typowe problemy </w:t>
        <w:br/>
        <w:t>z wykorzystaniem poznanych metod, samodzielnie pracuje  z podręcznikiem i materiałami źródłowymi;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dostateczny</w:t>
      </w:r>
      <w:r>
        <w:rPr>
          <w:rFonts w:ascii="Calibri" w:hAnsi="Calibri"/>
          <w:color w:val="000000"/>
          <w:sz w:val="20"/>
          <w:szCs w:val="20"/>
        </w:rPr>
        <w:t>, gdy zawiera małe błędy, jest samodzielna, lecz niepełna,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 xml:space="preserve">z wymaganiami podstawowymi, uczeń opanował wiadomości podstawowe </w:t>
      </w:r>
    </w:p>
    <w:p>
      <w:pPr>
        <w:pStyle w:val="Normal"/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 xml:space="preserve">           </w:t>
      </w:r>
      <w:r>
        <w:rPr>
          <w:rFonts w:ascii="Calibri" w:hAnsi="Calibri"/>
          <w:color w:val="000000"/>
          <w:sz w:val="20"/>
          <w:szCs w:val="20"/>
        </w:rPr>
        <w:t>i z niewielką pomocą nauczyciela potrafi rozwiązywać podstawowe zależności, próbuje porównywać, wnioskować i zajmować określone stanowisko;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dopuszczający</w:t>
      </w:r>
      <w:r>
        <w:rPr>
          <w:rFonts w:ascii="Calibri" w:hAnsi="Calibri"/>
          <w:color w:val="000000"/>
          <w:sz w:val="20"/>
          <w:szCs w:val="20"/>
        </w:rPr>
        <w:t>, gdy odpowiedź jest zgodna</w:t>
      </w:r>
      <w:r>
        <w:rPr>
          <w:rFonts w:ascii="Calibri" w:hAnsi="Calibri"/>
          <w:b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z wymaganiami koniecznymi, obejmuje wiedzę i umiejętności proste, łatwe do opanowania i zapamiętania dla każdego ucznia, niezbędne do dalszej edukacji, często przydatne w życiu;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360" w:leader="none"/>
        </w:tabs>
        <w:ind w:hanging="540" w:left="360" w:right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b/>
          <w:color w:val="000000"/>
          <w:sz w:val="20"/>
          <w:szCs w:val="20"/>
        </w:rPr>
        <w:t>niedostateczny</w:t>
      </w:r>
      <w:r>
        <w:rPr>
          <w:rFonts w:ascii="Calibri" w:hAnsi="Calibri"/>
          <w:color w:val="000000"/>
          <w:sz w:val="20"/>
          <w:szCs w:val="20"/>
        </w:rPr>
        <w:t>, gdy odpowiedź zawiera poważne błędy merytoryczne, jest niesamodzielna i pomija najważniejsze kwestie.</w:t>
        <w:br/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360" w:leader="none"/>
        </w:tabs>
        <w:ind w:hanging="0" w:left="-180" w:right="0"/>
        <w:rPr>
          <w:rFonts w:ascii="Calibri" w:hAnsi="Calibri"/>
          <w:color w:val="000000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color w:val="000000"/>
          <w:sz w:val="20"/>
          <w:szCs w:val="20"/>
          <w:shd w:fill="FFFFFF" w:val="clear"/>
        </w:rPr>
        <w:t xml:space="preserve">4.  </w:t>
      </w:r>
      <w:r>
        <w:rPr>
          <w:rFonts w:ascii="Calibri" w:hAnsi="Calibri"/>
          <w:b/>
          <w:bCs/>
          <w:color w:val="000000"/>
          <w:sz w:val="20"/>
          <w:szCs w:val="20"/>
        </w:rPr>
        <w:t>Szczegółowe wymagania edukacyjne na poszczególne stopnie dla uczniów klasy szóstej:</w:t>
        <w:br/>
        <w:br/>
      </w:r>
    </w:p>
    <w:tbl>
      <w:tblPr>
        <w:tblStyle w:val="Tabela-Siatka"/>
        <w:tblW w:w="1427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69"/>
        <w:gridCol w:w="1415"/>
        <w:gridCol w:w="2493"/>
        <w:gridCol w:w="2212"/>
        <w:gridCol w:w="2186"/>
        <w:gridCol w:w="2233"/>
        <w:gridCol w:w="2271"/>
      </w:tblGrid>
      <w:tr>
        <w:trPr>
          <w:trHeight w:val="156" w:hRule="atLeast"/>
        </w:trPr>
        <w:tc>
          <w:tcPr>
            <w:tcW w:w="1469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Dział</w:t>
            </w:r>
          </w:p>
        </w:tc>
        <w:tc>
          <w:tcPr>
            <w:tcW w:w="141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Temat</w:t>
            </w:r>
          </w:p>
        </w:tc>
        <w:tc>
          <w:tcPr>
            <w:tcW w:w="11395" w:type="dxa"/>
            <w:gridSpan w:val="5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Poziom wymagań</w:t>
            </w:r>
          </w:p>
        </w:tc>
      </w:tr>
      <w:tr>
        <w:trPr>
          <w:trHeight w:val="84" w:hRule="atLeast"/>
        </w:trPr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41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Pa20"/>
              <w:widowControl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ocena dopuszczająca,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uczeń:</w:t>
            </w:r>
          </w:p>
        </w:tc>
        <w:tc>
          <w:tcPr>
            <w:tcW w:w="2212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dostateczna, uczeń: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dobra, uczeń:</w:t>
            </w:r>
          </w:p>
        </w:tc>
        <w:tc>
          <w:tcPr>
            <w:tcW w:w="2233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bardzo dobra, uczeń:</w:t>
            </w:r>
          </w:p>
        </w:tc>
        <w:tc>
          <w:tcPr>
            <w:tcW w:w="2271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ocena celująca, uczeń:</w:t>
            </w:r>
          </w:p>
        </w:tc>
      </w:tr>
      <w:tr>
        <w:trPr/>
        <w:tc>
          <w:tcPr>
            <w:tcW w:w="1469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numPr>
                <w:ilvl w:val="0"/>
                <w:numId w:val="1"/>
              </w:numPr>
              <w:spacing w:before="0" w:after="0"/>
              <w:ind w:hanging="720" w:left="862" w:right="113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Różnorodność  i jedność świata zwierząt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I. Świat zwierząt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1. W królestwie zwierząt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wspólne cechy zwierząt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czym różnią się zwierzęta kręgowe od bezkręgowych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przedstawia poziomy organizacji ciała zwierząt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przykłady zwierząt kręgowych i bezkręgowych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definiuje pojęcia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000000"/>
                <w:kern w:val="0"/>
                <w:sz w:val="20"/>
                <w:szCs w:val="20"/>
                <w:lang w:val="pl-PL" w:bidi="ar-SA"/>
              </w:rPr>
              <w:t>komórka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000000"/>
                <w:kern w:val="0"/>
                <w:sz w:val="20"/>
                <w:szCs w:val="20"/>
                <w:lang w:val="pl-PL" w:bidi="ar-SA"/>
              </w:rPr>
              <w:t>tkanka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000000"/>
                <w:kern w:val="0"/>
                <w:sz w:val="20"/>
                <w:szCs w:val="20"/>
                <w:lang w:val="pl-PL" w:bidi="ar-SA"/>
              </w:rPr>
              <w:t>narząd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000000"/>
                <w:kern w:val="0"/>
                <w:sz w:val="20"/>
                <w:szCs w:val="20"/>
                <w:lang w:val="pl-PL" w:bidi="ar-SA"/>
              </w:rPr>
              <w:t>układ narządów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, </w:t>
            </w:r>
            <w:r>
              <w:rPr>
                <w:rFonts w:cs="Calibri" w:ascii="Calibri" w:hAnsi="Calibri" w:asciiTheme="minorHAnsi" w:cstheme="minorHAnsi" w:hAnsiTheme="minorHAnsi"/>
                <w:i/>
                <w:iCs/>
                <w:color w:val="000000"/>
                <w:kern w:val="0"/>
                <w:sz w:val="20"/>
                <w:szCs w:val="20"/>
                <w:lang w:val="pl-PL" w:bidi="ar-SA"/>
              </w:rPr>
              <w:t>organizm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podręcznika przyporządkowuje podane zwierzę do odpowiedniej grupy systematycznej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charakteryzuje bezkręgowce </w:t>
              <w:br/>
              <w:t>i kręgowce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pokrycie ciała bezkręgowców i kręgowców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przykłady szkieletów bezkręgowców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prezentuje stopniowo komplikującą się budowę ciała zwierząt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opisu przyporządkowuje zwierzę do odpowiedniej grupy systematycznej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2. Tkanki: nabłonkowa, mięśniowa i nerwowa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czym jest tkanka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podstawowe rodzaje tkanek zwierzęcych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przy pomocy nauczyciela przeprowadza obserwację mikroskopową tkanek zwierzęcych </w:t>
              <w:br/>
              <w:t>i rysuje obrazy widziane pod mikroskopem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najważniejsze funkcje wskazanej tkanki zwierzęcej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budowę wskazanej tkanki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przy niewielkiej pomocy nauczyciela przeprowadza obserwację mikroskopową tkanek zwierzęcych </w:t>
              <w:br/>
              <w:t>i rysuje obrazy widziane pod mikroskopem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określa miejsca występowania w organizmie omawianych tkanek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samodzielnie przeprowadza obserwację mikroskopową tkanek zwierzęcych </w:t>
              <w:br/>
              <w:t>i przy pomocy nauczyciela rysuje obrazy widziane pod mikroskopem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budowę poszczególnych tkanek zwierzęcych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rodzaje tkanek zwierzęcych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omawia budowę </w:t>
              <w:br/>
              <w:t>i sposób funkcjonowania tkanki mięśniowej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samodzielnie przeprowadza obserwację mikroskopową tkanek zwierzęcych </w:t>
              <w:br/>
              <w:t>i rysuje obrazy widziane pod mikroskopem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ilustracji analizuje budowę tkanek zwierzęcych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wykazuje związek istniejący między budową tkanek zwierzęcych </w:t>
              <w:br/>
              <w:t>a pełnionymi przez nie funkcjami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wykonuje </w:t>
              <w:br/>
              <w:t>z dowolnego materiału model wybranej tkanki zwierzęcej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3. Tkanka łączna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rodzaje tkanki łącznej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składniki krwi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przy pomocy nauczyciela przeprowadza obserwację mikroskopową tkanek zwierzęcych i rozpoznaje elementy tkanki widziane pod mikroskopem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rozmieszczenie omawianych tkanek w organizmie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składniki krwi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przy niewielkiej pomocy nauczyciela przeprowadza obserwację mikroskopową tkanek zwierzęcych </w:t>
              <w:br/>
              <w:t>i rozpoznaje elementy tkanki widziane pod mikroskopem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zróżnicowanie w budowie tkanki łącznej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funkcje składników krwi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przy niewielkiej pomocy nauczyciela rozpoznaje charakterystyczne elementy obserwowanej tkanki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właściwości i funkcje tkanki kostnej, chrzęstnej i tłuszczowej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rolę poszczególnych składników morfotycznych krwi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samodzielnie przeprowadza obserwację mikroskopową tkanek zwierzęcych </w:t>
              <w:br/>
              <w:t>i na podstawie ilustracji rozpoznaje charakterystyczne elementy obserwowanej tkanki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budową elementów krwi a pełnionymi przez nie funkcjami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samodzielnie przeprowadza obserwację mikroskopową tkanek zwierzęcych i na podstawie ilustracji rozpoznaje oraz opisuje elementy tkanki widziane pod mikroskopem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4. Płazińce – zwierzęta, które mają płaskie ciało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miejsce występowania płazińców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tasiemca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72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na ilustracji elementy budowy tasiemca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drogi inwazji tasiemca do organizmu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 na podstawie  schematu cyklu rozwojowego tasiemca żywiciela pośredniego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przystosowanie tasiemca do pasożytniczego trybu życia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znaczenie płazińców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wskazuje  rolę żywiciela pośredniego </w:t>
              <w:br/>
              <w:t>i ostatecznego w cyklu rozwojowym tasiemca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wskazane czynności życiowe płazińców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sposoby zapobiegania zarażeniu się tasiemcem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możliwości zakażenia się chorobami wywoływanymi przez płazińce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znaczenie płazińców w przyrodzie i dla człowieka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i/>
                <w:color w:val="000000"/>
                <w:kern w:val="0"/>
                <w:sz w:val="20"/>
                <w:szCs w:val="20"/>
                <w:lang w:bidi="ar-SA"/>
              </w:rPr>
              <w:t>5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. Nicienie – zwierzęta, które mają nitkowate ciało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środowisko życia nicieni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nicienie wśród innych zwierząt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charakterystyczne cechy nicieni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budowę zewnętrzną nicieni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choroby wywołane przez nicienie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drogi inwazji nicieni do organizmu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na czym polega „choroba brudnych rąk”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objawy chorób wywołanych przez nicienie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znaczenie profilaktyki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możliwości zakażenia się chorobami wywoływanymi przez nicienie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przygotowuje prezentację np. PowerPoint) na temat chorób wywoływanych przez nicienie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znaczenie nicieni w przyrodzie i dla człowieka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  <w:t xml:space="preserve">6.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val="pl-PL" w:bidi="ar-SA"/>
              </w:rPr>
              <w:t>Pierścienice (skąposzczety i pijawki) – zwierzęta, które mają segmentowane ciało</w:t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pierścienice wśród innych zwierząt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środowisko życia pierścienic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cechy charakterystyczne budowy zewnętrznej pierścienic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znaczenie szczecinek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środowisko i tryb życia pijawki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na żywym okazie dżdżownicy lub na ilustracji wskazuje siodełko </w:t>
              <w:br/>
              <w:t>i wyjaśnia jego rolę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przystosowania pijawki do pasożytniczego trybu życia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wskazane czynności życiowe pierścienic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zakłada hodowlę dżdżownic, wskazując, jak zwierzęta te przyczyniają się do poprawy struktury gleby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znaczenie pierścienic w przyrodzie i dla człowieka</w:t>
            </w:r>
          </w:p>
        </w:tc>
      </w:tr>
      <w:tr>
        <w:trPr/>
        <w:tc>
          <w:tcPr>
            <w:tcW w:w="1469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numPr>
                <w:ilvl w:val="0"/>
                <w:numId w:val="2"/>
              </w:numPr>
              <w:spacing w:before="0" w:after="0"/>
              <w:ind w:hanging="720" w:left="833" w:right="113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Stawonogi (skorupiaki, owady i pajęczaki)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III. Stawonogi</w:t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 mięczaki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7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Stawonogi            ( skorupiaki, owady, pajęczaki)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stawonogi wśród innych zwierząt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skorupiaki, owady i pajęczaki jako zwierzęta należące do stawonogów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główne części ciała poszczególnych grup stawonogów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miejsca bytowania stawonogów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rozróżnia wśród stawonogów skorupiaki, owady </w:t>
              <w:br/>
              <w:t>i pajęczaki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różnorodność miejsc bytowania stawonogów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przedstawia kryteria podziału stawonogów na skorupiaki, owady </w:t>
              <w:br/>
              <w:t>i pajęczaki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funkcje odnóży stawonogów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wskazane czynności życiowe stawonogów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omawia cechy umożliwiające rozpoznanie skorupiaków, owadów </w:t>
              <w:br/>
              <w:t>i pajęczaków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cechy adaptacyjne wskazanej grupy stawonogów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czym jest oko złożone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przedstawia różnorodność budowy ciała stawonogów oraz ich trybu życia, wykazując jednocześnie ich cechy wspólne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cechy adaptacyjne stawonogów, umożliwiające im opanowanie różnych środowisk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9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.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Skorupiaki – stawonogi, które mają twardy</w:t>
            </w: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pancerz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główne części ciała skorupiaków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skorupiaki wśród innych stawonogów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środowiska występowania skorupiaków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budowę zewnętrzną skorupiaków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nazywa poszczególne części ciała </w:t>
              <w:br/>
              <w:t>u raka stawowego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wskazane czynności życiowe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między budową skorupiaków a środowiskiem ich życia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pacing w:before="0" w:after="0"/>
              <w:contextualSpacing/>
              <w:jc w:val="left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znaczenie skorupiaków w przyrodzie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charakteryzuje znaczenie skorupiaków </w:t>
              <w:br/>
              <w:t xml:space="preserve">w przyrodzie </w:t>
              <w:br/>
              <w:t>i dla człowieka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10. Owady – stawonogi zdolne do lotu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elementy budowy zewnętrznej owadów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wylicza środowiska życia owadów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owady wśród innych stawonogów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charakterystyczne cechy budowy wybranych gatunków owadów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wybranych przykładach omawia znaczenie owadów dla człowieka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kilku przykładach omawia różnice w budowie owadów oraz ich przystosowania do życia w różnych środowiskach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wybranych przykładach omawia znaczenie owadów dla człowieka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wykazuje związek istniejący między budową odnóży owadów </w:t>
              <w:br/>
              <w:t>a środowiskiem ich życia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wybranych przykładach omawia znaczenie owadów w przyrodzie i dla człowieka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analizuje budowę narządów gębowych owadów </w:t>
              <w:br/>
              <w:t xml:space="preserve">i wykazuje jej związek </w:t>
              <w:br/>
              <w:t>z pobieranym pokarmem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11. Pajęczaki – stawonogi, które mają cztery pary odnóży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środowiska występowania pajęczaków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pajęczaki wśród innych stawonogów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charakterystyczne cechy budowy zewnętrznej pajęczaków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sposób odżywiania się pajęczaków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na podstawie cech budowy zewnętrznej pajęczaków przyporządkowuje konkretne okazy do odpowiednich gatunków przedstawionych </w:t>
              <w:br/>
              <w:t>w podręczniku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obserwacji żywych okazów lub filmu edukacyjnego omawia czynności życiowe pajęczaków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sposoby odżywiania się pajęczaków na przykładzie wybranych przedstawicieli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odnóża pajęczaków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znaczenie pajęczaków w przyrodzie i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elementy budowy zewnętrznej pajęczaków i wykazuje ich przystosowania do środowiska życia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12. Mięczaki – zwierzęta, które mają muszlę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miejsca występowania mięczaków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na ilustracji elementy budowy ślimaka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budowę zewnętrzną mięczaków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na ilustracjach elementy budowy mięczaków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mięczaków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 xml:space="preserve">wykazuje różnice w budowie ślimaków, małży </w:t>
              <w:br/>
              <w:t>i głowonogów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znaczenie mięczaków w przyrodzie i dla człowieka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gatunki ślimaków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konstruuje tabelę, w której porównuje trzy grupy mięczaków</w:t>
            </w:r>
          </w:p>
        </w:tc>
      </w:tr>
      <w:tr>
        <w:trPr/>
        <w:tc>
          <w:tcPr>
            <w:tcW w:w="1469" w:type="dxa"/>
            <w:vMerge w:val="restart"/>
            <w:tcBorders/>
            <w:textDirection w:val="btLr"/>
          </w:tcPr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42" w:right="113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IV. Kręgowce zmiennocieplne</w:t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left"/>
              <w:rPr>
                <w:rFonts w:ascii="Calibri" w:hAnsi="Calibri" w:cs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b/>
                <w:bCs/>
                <w:color w:val="000000"/>
                <w:kern w:val="0"/>
                <w:sz w:val="20"/>
                <w:szCs w:val="20"/>
                <w:lang w:bidi="ar-SA"/>
              </w:rPr>
            </w:r>
          </w:p>
          <w:p>
            <w:pPr>
              <w:pStyle w:val="Pa20"/>
              <w:widowControl/>
              <w:spacing w:before="0" w:after="0"/>
              <w:ind w:left="113" w:right="113"/>
              <w:jc w:val="center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color w:val="000000"/>
                <w:kern w:val="0"/>
                <w:sz w:val="20"/>
                <w:szCs w:val="20"/>
                <w:lang w:bidi="ar-SA"/>
              </w:rPr>
              <w:t>IV. Kręgowce zmiennocieplne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13. Ryby – kręgowce środowisk wodnych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wodę jako środowisko życia ryb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ryby wśród innych zwierząt kręgowych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ilustracji omawia budowę zewnętrzną ryb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przyporządkowuje wskazany organizm do ryb na podstawie znajomości ich cech charakterystycznych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obserwacji żywych okazów lub filmu  omawia czynności życiowe ryb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nazywa płetwy  i wskazuje ich położenie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proces wymiany gazowej u ryb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na czym polega zmiennocieplność ryb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sposób rozmnażania ryb, wyjaśniając, czym jest tarło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przystosowania ryb w budowie zewnętrznej i czynnościach życiowych do życia w wodzie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14. Przegląd i znaczenie ryb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kilka gatunków ryb przedstawionych w podręczniku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nazywa  rybę  wskazywaną przez nauczyciela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przykłady zdobywania pokarmu przez ryby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nazwę ryby dwuśrodowiskowej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kilkoma przykładami ilustruje strategie zdobywania pokarmu przez ryby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kilka nazw gatunkowych ryb żyjących w Bałtyku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znaczenie ryb w przyrodzie i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zagrożenia i konieczność ochrony ryb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budową ryb a miejscem ich bytowania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15. Płazy – bezoogonowe i ogoniaste. kręgowce środowisk wodno</w:t>
              <w:softHyphen/>
              <w:t>-lądowych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środowisko życia płazów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części ciała płazów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ilustracji omawia budowę zewnętrzną płaza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stadia rozwojowe żaby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przystosowania płazów do życia w wodzie i na lądzie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wybrane czynności życiowe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cykl rozwojowy żaby i wykazuje jego związek z życiem w wodzie i na lądzie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przedstawicieli płazów wśród innych zwierząt, wskazując na ich charakterystyczne cechy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w jaki sposób przebiega wymiana gazowa u płazów, wykazując związek z ich życiem w dwóch środowiskach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trybem życia płazów a ich zmiennocieplnością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16. Przegląd i znaczenie płazów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 na ilustracji płazy ogoniaste, beznogie i bezogonowe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przykłady płazów żyjących w Polsce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główne zagrożenia dla płazów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przykłady  płazów  ogoniastych , bezogonowych  i beznogich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główne zagrożenia dla płazów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płazy ogoniaste, bezogonowe i beznogie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sposoby ochrony płazów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znaczenie płazów w przyrodzie i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wykonuje portfolio lub prezentację multimedialną na temat płazów żyjących w Polsce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17. Gady – kręgowce, które opanowały ląd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środowiska życia gadów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budowę zewnętrzną gadów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związek istniejący między występowaniem gadów a ich zmiennocieplnością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gady wśród innych zwierząt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przystosowania gadów do życia na lądzie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tryb życia gadów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rozmnażanie i rozwój gadów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przebieg wymiany gazowej u gadów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pokrycie ciała gadów w kontekście ochrony przed utratą wody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między sposobem rozmnażania gadów a środowiskiem ich życia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18. Przegląd i znaczenie gadów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na ilustracji jaszczurki, krokodyle, węże i żółwie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określa środowiska życia gadów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podaje przyczyny zmniejszania się populacji gadów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sposoby zdobywania pokarmu przez gady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sposoby ochrony gadów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gady występujące w Polsce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przyczyny wymierania gadów i podaje sposoby zapobiegania zmniejszaniu się ich populacji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znaczenie gadów w przyrodzie i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prezentację (np. PowerPoint) na temat gadów żyjących w Polsce</w:t>
            </w:r>
          </w:p>
        </w:tc>
      </w:tr>
      <w:tr>
        <w:trPr/>
        <w:tc>
          <w:tcPr>
            <w:tcW w:w="1469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spacing w:before="0" w:after="0"/>
              <w:ind w:hanging="720" w:left="833" w:right="113"/>
              <w:contextualSpacing/>
              <w:jc w:val="lef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 w:cstheme="minorHAnsi"/>
                <w:b/>
                <w:color w:val="000000"/>
                <w:sz w:val="20"/>
                <w:szCs w:val="20"/>
                <w:lang w:val="pl-PL"/>
              </w:rPr>
              <w:t>Kręgowce  stałocieplne</w:t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left"/>
              <w:rPr>
                <w:rFonts w:ascii="Calibri" w:hAnsi="Calibri" w:cs="Calibri" w:cstheme="minorHAnsi"/>
                <w:b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20"/>
                <w:szCs w:val="20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ind w:left="113" w:right="113"/>
              <w:contextualSpacing/>
              <w:jc w:val="center"/>
              <w:rPr>
                <w:rFonts w:ascii="Calibri" w:hAnsi="Calibri" w:cs="Times New Roman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cstheme="minorHAnsi"/>
                <w:b/>
                <w:color w:val="000000"/>
                <w:kern w:val="0"/>
                <w:sz w:val="20"/>
                <w:szCs w:val="20"/>
                <w:lang w:bidi="ar-SA"/>
              </w:rPr>
              <w:t>V. Kręgowce stałocieplne</w:t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19. Ptaki – kręgowce zdolne do lotu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różnorodne siedliska występowania ptaków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żywym okazie lub na ilustracji wskazuje cechy budowy ptaków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ptaki wśród innych zwierząt, wskazując ich charakterystyczne cechy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rodzaje piór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elementy budowy jaja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ptaki jako zwierzęta stałocieplne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przystosowania ptaków do lotu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budowę piór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proces rozmnażania i rozwój ptaków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rolę piór w utrzymaniu stałocieplności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budowę piór ptaków w związku z pełnioną przez nie funkcją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wymianą gazową a umiejętnością latania ptaków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proces rozmnażania i rozwoju ptaków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przebiegiem wymiany gazowej a przystosowaniem ptaków do lotu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na ilustracji lub podczas obserwacji w terenie rozpoznaje gatunki ptaków zamieszkujących najbliższą okolicę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20. Przegląd</w:t>
            </w:r>
          </w:p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i znaczenie ptaków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 przykłady ptaków żyjących w różnych środowiskach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ocenia  pozytywne znaczenie ptaków w przyrodzie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znaczenie ptaków w przyrodzie i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zagrożenia dla ptaków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istniejący między wielkością i kształtem dziobów ptaków a rodzajem spożywanego przez nie pokarmu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sposoby ochrony ptaków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związek między stałocieplnością ptaków a środowiskiem i trybem ich życia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korzysta z aplikacji  do oznaczania popularnych gatunków ptaków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21. Ssaki łożyskowe kręgowce, które karmią młode mlekiem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wskazuje środowiska występowania ssaków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podstawie ilustracji omawia budowę zewnętrzną ssaków</w:t>
            </w:r>
          </w:p>
          <w:p>
            <w:pPr>
              <w:pStyle w:val="Normal"/>
              <w:widowControl/>
              <w:spacing w:before="0" w:after="0"/>
              <w:ind w:hanging="0" w:left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zróżnicowanie siedlisk zajmowanych przez ssaki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określa ssaki jako zwierzęta stałocieplne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wytwory skóry ssaków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 ilustracji lub na żywym obiekcie wskazuje cechy charakterystyczne i wspólne dla ssaków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wyjaśnia, że budowa skóry ssaków ma związek z utrzymywaniem przez nie stałocieplności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proces rozmnażania i rozwój ssaków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opisuje przystosowania ssaków do różnych środowisk życia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charakteryzuje opiekę nad potomstwem u ssaków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identyfikuje wytwory skóry ssaków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związek zachodzący między wymianą gazową ssaków a zróżnicowanymi środowiskami ich występowania i ich życiową aktywnością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funkcje skóry w aspekcie różnorodności siedlisk zajmowanych przez ssaki</w:t>
            </w:r>
          </w:p>
        </w:tc>
      </w:tr>
      <w:tr>
        <w:trPr/>
        <w:tc>
          <w:tcPr>
            <w:tcW w:w="146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r>
          </w:p>
        </w:tc>
        <w:tc>
          <w:tcPr>
            <w:tcW w:w="1415" w:type="dxa"/>
            <w:tcBorders/>
          </w:tcPr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22. Przegląd</w:t>
            </w:r>
          </w:p>
          <w:p>
            <w:pPr>
              <w:pStyle w:val="Pa21"/>
              <w:widowControl/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20"/>
                <w:szCs w:val="20"/>
                <w:lang w:bidi="ar-SA"/>
              </w:rPr>
              <w:t>i znaczenie ssaków</w:t>
            </w:r>
          </w:p>
          <w:p>
            <w:pPr>
              <w:pStyle w:val="Normal"/>
              <w:widowControl/>
              <w:spacing w:before="0" w:after="0"/>
              <w:contextualSpacing/>
              <w:jc w:val="left"/>
              <w:rPr>
                <w:rFonts w:ascii="Calibri" w:hAnsi="Calibri" w:cs="Calibri" w:cstheme="minorHAns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0"/>
                <w:szCs w:val="20"/>
                <w:lang w:bidi="ar-SA"/>
              </w:rPr>
            </w:r>
          </w:p>
        </w:tc>
        <w:tc>
          <w:tcPr>
            <w:tcW w:w="249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przystosowania ssaków do zróżnicowanych środowisk ich bytowania</w:t>
            </w:r>
          </w:p>
        </w:tc>
        <w:tc>
          <w:tcPr>
            <w:tcW w:w="2212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zależność między budową morfologiczną ssaków a zajmowanym przez nie siedliskiem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nazywa wskazane zęby ssaków</w:t>
            </w:r>
          </w:p>
        </w:tc>
        <w:tc>
          <w:tcPr>
            <w:tcW w:w="2186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rozpoznaje zęby ssaków i wyjaśnia ich funkcje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wyjaśnia znaczenie ssaków dla przyrody</w:t>
            </w:r>
          </w:p>
        </w:tc>
        <w:tc>
          <w:tcPr>
            <w:tcW w:w="2233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omawia znaczenie ssaków dla człowieka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wymienia zagrożenia dla ssaków</w:t>
            </w:r>
          </w:p>
        </w:tc>
        <w:tc>
          <w:tcPr>
            <w:tcW w:w="2271" w:type="dxa"/>
            <w:tcBorders/>
          </w:tcPr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val="pl-PL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analizuje zagrożenia ssaków i wskazuje sposoby ich ochrony</w:t>
            </w:r>
          </w:p>
          <w:p>
            <w:pPr>
              <w:pStyle w:val="Default"/>
              <w:widowControl/>
              <w:numPr>
                <w:ilvl w:val="0"/>
                <w:numId w:val="7"/>
              </w:numPr>
              <w:spacing w:before="0" w:after="0"/>
              <w:jc w:val="left"/>
              <w:rPr>
                <w:rFonts w:ascii="Calibri" w:hAnsi="Calibri"/>
                <w:color w:val="000000"/>
                <w:kern w:val="0"/>
                <w:sz w:val="20"/>
                <w:szCs w:val="20"/>
                <w:lang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20"/>
                <w:szCs w:val="20"/>
                <w:lang w:val="pl-PL" w:bidi="ar-SA"/>
              </w:rPr>
              <w:t>wykazuje przynależność człowieka do ssaków</w:t>
            </w:r>
          </w:p>
        </w:tc>
      </w:tr>
    </w:tbl>
    <w:p>
      <w:pPr>
        <w:pStyle w:val="Normal"/>
        <w:ind w:left="142" w:right="119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orient="landscape" w:w="15600" w:h="11630"/>
      <w:pgMar w:left="720" w:right="720" w:gutter="0" w:header="0" w:top="720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Humanst521EU">
    <w:charset w:val="ee"/>
    <w:family w:val="roman"/>
    <w:pitch w:val="variable"/>
  </w:font>
  <w:font w:name="Humanst521EU">
    <w:charset w:val="01"/>
    <w:family w:val="auto"/>
    <w:pitch w:val="default"/>
  </w:font>
  <w:font w:name="Humanst521EU-Normal">
    <w:charset w:val="01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7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WW8Num7z0">
    <w:name w:val="WW8Num7z0"/>
    <w:qFormat/>
    <w:rPr/>
  </w:style>
  <w:style w:type="character" w:styleId="WW8Num3z0">
    <w:name w:val="WW8Num3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left="22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Pa20">
    <w:name w:val="Pa20"/>
    <w:basedOn w:val="Normal"/>
    <w:next w:val="Normal"/>
    <w:qFormat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Pa21">
    <w:name w:val="Pa21"/>
    <w:basedOn w:val="Normal"/>
    <w:next w:val="Normal"/>
    <w:qFormat/>
    <w:pPr>
      <w:spacing w:lineRule="atLeast" w:line="171"/>
    </w:pPr>
    <w:rPr>
      <w:rFonts w:ascii="Humanst521EU" w:hAnsi="Humanst521EU" w:eastAsia="Calibri" w:cs="" w:cstheme="minorBidi" w:eastAsiaTheme="minorHAnsi"/>
      <w:lang w:val="pl-PL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Humanst521EU" w:hAnsi="Humanst521EU" w:eastAsia="Calibri" w:cs="Humanst521EU" w:eastAsiaTheme="minorHAnsi"/>
      <w:color w:val="000000"/>
      <w:kern w:val="0"/>
      <w:sz w:val="24"/>
      <w:szCs w:val="24"/>
      <w:lang w:val="en-US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7">
    <w:name w:val="WW8Num7"/>
    <w:qFormat/>
  </w:style>
  <w:style w:type="numbering" w:styleId="WW8Num3">
    <w:name w:val="WW8Num3"/>
    <w:qFormat/>
  </w:style>
  <w:style w:type="numbering" w:styleId="WW8Num6">
    <w:name w:val="WW8Num6"/>
    <w:qFormat/>
  </w:style>
  <w:style w:type="numbering" w:styleId="WW8Num5">
    <w:name w:val="WW8Num5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LibreOffice/26.2.6.3$Windows_X86_64 LibreOffice_project/8221e31b3ac356a1623c672912a3d2b492f7e3d1</Application>
  <AppVersion>15.0000</AppVersion>
  <Pages>7</Pages>
  <Words>2603</Words>
  <Characters>15618</Characters>
  <CharactersWithSpaces>18185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2026-10-04T19:57:00Z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