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footer32.xml" ContentType="application/vnd.openxmlformats-officedocument.wordprocessingml.footer+xml"/>
  <Override PartName="/word/styles.xml" ContentType="application/vnd.openxmlformats-officedocument.wordprocessingml.styles+xml"/>
  <Override PartName="/word/footer18.xml" ContentType="application/vnd.openxmlformats-officedocument.wordprocessingml.footer+xml"/>
  <Override PartName="/word/footer1.xml" ContentType="application/vnd.openxmlformats-officedocument.wordprocessingml.footer+xml"/>
  <Override PartName="/word/footer20.xml" ContentType="application/vnd.openxmlformats-officedocument.wordprocessingml.footer+xml"/>
  <Override PartName="/word/footer2.xml" ContentType="application/vnd.openxmlformats-officedocument.wordprocessingml.footer+xml"/>
  <Override PartName="/word/footer28.xml" ContentType="application/vnd.openxmlformats-officedocument.wordprocessingml.footer+xml"/>
  <Override PartName="/word/document.xml" ContentType="application/vnd.openxmlformats-officedocument.wordprocessingml.document.main+xml"/>
  <Override PartName="/word/footer39.xml" ContentType="application/vnd.openxmlformats-officedocument.wordprocessingml.footer+xml"/>
  <Override PartName="/word/footer3.xml" ContentType="application/vnd.openxmlformats-officedocument.wordprocessingml.footer+xml"/>
  <Override PartName="/word/footer12.xml" ContentType="application/vnd.openxmlformats-officedocument.wordprocessingml.footer+xml"/>
  <Override PartName="/word/footer21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footer22.xml" ContentType="application/vnd.openxmlformats-officedocument.wordprocessingml.footer+xml"/>
  <Override PartName="/word/footer5.xml" ContentType="application/vnd.openxmlformats-officedocument.wordprocessingml.footer+xml"/>
  <Override PartName="/word/footer23.xml" ContentType="application/vnd.openxmlformats-officedocument.wordprocessingml.footer+xml"/>
  <Override PartName="/word/footer6.xml" ContentType="application/vnd.openxmlformats-officedocument.wordprocessingml.footer+xml"/>
  <Override PartName="/word/footer24.xml" ContentType="application/vnd.openxmlformats-officedocument.wordprocessingml.footer+xml"/>
  <Override PartName="/word/footer7.xml" ContentType="application/vnd.openxmlformats-officedocument.wordprocessingml.footer+xml"/>
  <Override PartName="/word/footer25.xml" ContentType="application/vnd.openxmlformats-officedocument.wordprocessingml.footer+xml"/>
  <Override PartName="/word/footer11.xml" ContentType="application/vnd.openxmlformats-officedocument.wordprocessingml.footer+xml"/>
  <Override PartName="/word/footer8.xml" ContentType="application/vnd.openxmlformats-officedocument.wordprocessingml.footer+xml"/>
  <Override PartName="/word/footer26.xml" ContentType="application/vnd.openxmlformats-officedocument.wordprocessingml.footer+xml"/>
  <Override PartName="/word/footer10.xml" ContentType="application/vnd.openxmlformats-officedocument.wordprocessingml.footer+xml"/>
  <Override PartName="/word/footer9.xml" ContentType="application/vnd.openxmlformats-officedocument.wordprocessingml.footer+xml"/>
  <Override PartName="/word/footer13.xml" ContentType="application/vnd.openxmlformats-officedocument.wordprocessingml.footer+xml"/>
  <Override PartName="/word/footer42.xml" ContentType="application/vnd.openxmlformats-officedocument.wordprocessingml.footer+xml"/>
  <Override PartName="/word/numbering.xml" ContentType="application/vnd.openxmlformats-officedocument.wordprocessingml.numbering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9.xml" ContentType="application/vnd.openxmlformats-officedocument.wordprocessingml.footer+xml"/>
  <Override PartName="/word/footer27.xml" ContentType="application/vnd.openxmlformats-officedocument.wordprocessingml.footer+xml"/>
  <Override PartName="/word/footer29.xml" ContentType="application/vnd.openxmlformats-officedocument.wordprocessingml.footer+xml"/>
  <Override PartName="/word/theme/theme1.xml" ContentType="application/vnd.openxmlformats-officedocument.theme+xml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oter33.xml" ContentType="application/vnd.openxmlformats-officedocument.wordprocessingml.footer+xml"/>
  <Override PartName="/word/footer34.xml" ContentType="application/vnd.openxmlformats-officedocument.wordprocessingml.footer+xml"/>
  <Override PartName="/word/footer35.xml" ContentType="application/vnd.openxmlformats-officedocument.wordprocessingml.footer+xml"/>
  <Override PartName="/word/footer36.xml" ContentType="application/vnd.openxmlformats-officedocument.wordprocessingml.footer+xml"/>
  <Override PartName="/word/footer37.xml" ContentType="application/vnd.openxmlformats-officedocument.wordprocessingml.footer+xml"/>
  <Override PartName="/word/footer38.xml" ContentType="application/vnd.openxmlformats-officedocument.wordprocessingml.footer+xml"/>
  <Override PartName="/word/footer40.xml" ContentType="application/vnd.openxmlformats-officedocument.wordprocessingml.footer+xml"/>
  <Override PartName="/word/footer41.xml" ContentType="application/vnd.openxmlformats-officedocument.wordprocessingml.footer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ind w:left="142" w:right="119"/>
        <w:rPr>
          <w:rFonts w:ascii="Calibri" w:hAnsi="Calibri" w:cs="Calibri" w:asciiTheme="minorHAnsi" w:cstheme="minorHAnsi" w:hAnsiTheme="minorHAnsi"/>
          <w:b/>
          <w:color w:val="000000"/>
          <w:sz w:val="20"/>
          <w:szCs w:val="20"/>
          <w:shd w:fill="FFFFFF" w:val="clear"/>
        </w:rPr>
      </w:pPr>
      <w:r>
        <w:rPr>
          <w:rFonts w:cs="Calibri" w:ascii="Calibri" w:hAnsi="Calibri" w:cstheme="minorHAnsi"/>
          <w:b/>
          <w:color w:val="000000"/>
          <w:sz w:val="20"/>
          <w:szCs w:val="20"/>
          <w:shd w:fill="FFFFFF" w:val="clear"/>
        </w:rPr>
        <w:t>Wymagania edukacyjne z biologii dla klasy 7 szkoły podstawowej opracowane w oparciu o:</w:t>
      </w:r>
    </w:p>
    <w:p>
      <w:pPr>
        <w:pStyle w:val="Normal"/>
        <w:numPr>
          <w:ilvl w:val="0"/>
          <w:numId w:val="33"/>
        </w:numPr>
        <w:tabs>
          <w:tab w:val="clear" w:pos="720"/>
          <w:tab w:val="left" w:pos="360" w:leader="none"/>
        </w:tabs>
        <w:ind w:hanging="360" w:left="360" w:right="0"/>
        <w:jc w:val="both"/>
        <w:rPr>
          <w:rFonts w:ascii="Calibri" w:hAnsi="Calibri"/>
          <w:color w:val="000000"/>
          <w:sz w:val="20"/>
          <w:szCs w:val="20"/>
        </w:rPr>
      </w:pPr>
      <w:r>
        <w:rPr>
          <w:rFonts w:ascii="Calibri" w:hAnsi="Calibri"/>
          <w:color w:val="000000"/>
          <w:sz w:val="20"/>
          <w:szCs w:val="20"/>
        </w:rPr>
        <w:t>Podstawę programową;</w:t>
      </w:r>
    </w:p>
    <w:p>
      <w:pPr>
        <w:pStyle w:val="Normal"/>
        <w:numPr>
          <w:ilvl w:val="0"/>
          <w:numId w:val="33"/>
        </w:numPr>
        <w:tabs>
          <w:tab w:val="clear" w:pos="720"/>
          <w:tab w:val="left" w:pos="360" w:leader="none"/>
        </w:tabs>
        <w:ind w:hanging="360" w:left="360" w:right="0"/>
        <w:jc w:val="both"/>
        <w:rPr>
          <w:rFonts w:ascii="Calibri" w:hAnsi="Calibri"/>
          <w:color w:val="000000"/>
          <w:sz w:val="20"/>
          <w:szCs w:val="20"/>
        </w:rPr>
      </w:pPr>
      <w:r>
        <w:rPr>
          <w:rFonts w:ascii="Calibri" w:hAnsi="Calibri"/>
          <w:color w:val="000000"/>
          <w:sz w:val="20"/>
          <w:szCs w:val="20"/>
        </w:rPr>
        <w:t>Rozporządzenie MEN  w sprawie oceniania, klasyfikowania i promowania uczniów;</w:t>
      </w:r>
    </w:p>
    <w:p>
      <w:pPr>
        <w:pStyle w:val="Normal"/>
        <w:numPr>
          <w:ilvl w:val="0"/>
          <w:numId w:val="33"/>
        </w:numPr>
        <w:tabs>
          <w:tab w:val="clear" w:pos="720"/>
          <w:tab w:val="left" w:pos="360" w:leader="none"/>
        </w:tabs>
        <w:ind w:hanging="360" w:left="360" w:right="0"/>
        <w:jc w:val="both"/>
        <w:rPr>
          <w:rFonts w:ascii="Calibri" w:hAnsi="Calibri"/>
          <w:color w:val="000000"/>
          <w:sz w:val="20"/>
          <w:szCs w:val="20"/>
        </w:rPr>
      </w:pPr>
      <w:r>
        <w:rPr>
          <w:rFonts w:ascii="Calibri" w:hAnsi="Calibri"/>
          <w:color w:val="000000"/>
          <w:sz w:val="20"/>
          <w:szCs w:val="20"/>
        </w:rPr>
        <w:t>Statut;</w:t>
      </w:r>
    </w:p>
    <w:p>
      <w:pPr>
        <w:pStyle w:val="Normal"/>
        <w:numPr>
          <w:ilvl w:val="0"/>
          <w:numId w:val="33"/>
        </w:numPr>
        <w:tabs>
          <w:tab w:val="clear" w:pos="720"/>
          <w:tab w:val="left" w:pos="360" w:leader="none"/>
        </w:tabs>
        <w:ind w:hanging="360" w:left="360" w:right="0"/>
        <w:jc w:val="both"/>
        <w:rPr>
          <w:rFonts w:ascii="Calibri" w:hAnsi="Calibri"/>
          <w:color w:val="000000"/>
          <w:sz w:val="20"/>
          <w:szCs w:val="20"/>
        </w:rPr>
      </w:pPr>
      <w:r>
        <w:rPr>
          <w:rFonts w:ascii="Calibri" w:hAnsi="Calibri"/>
          <w:color w:val="000000"/>
          <w:sz w:val="20"/>
          <w:szCs w:val="20"/>
        </w:rPr>
        <w:t>Program nauczania biologii ,,Puls Życia” Nowa Era</w:t>
      </w:r>
    </w:p>
    <w:p>
      <w:pPr>
        <w:pStyle w:val="Normal"/>
        <w:ind w:left="360" w:right="0"/>
        <w:jc w:val="both"/>
        <w:rPr>
          <w:rFonts w:ascii="Calibri" w:hAnsi="Calibri"/>
          <w:color w:val="000000"/>
          <w:sz w:val="20"/>
          <w:szCs w:val="20"/>
        </w:rPr>
      </w:pPr>
      <w:r>
        <w:rPr>
          <w:rFonts w:ascii="Calibri" w:hAnsi="Calibri"/>
          <w:color w:val="000000"/>
          <w:sz w:val="20"/>
          <w:szCs w:val="20"/>
        </w:rPr>
      </w:r>
    </w:p>
    <w:p>
      <w:pPr>
        <w:pStyle w:val="Normal"/>
        <w:widowControl/>
        <w:numPr>
          <w:ilvl w:val="0"/>
          <w:numId w:val="0"/>
        </w:numPr>
        <w:suppressAutoHyphens w:val="true"/>
        <w:bidi w:val="0"/>
        <w:spacing w:before="0" w:after="0"/>
        <w:ind w:hanging="0" w:left="0" w:right="0"/>
        <w:jc w:val="left"/>
        <w:rPr>
          <w:rFonts w:ascii="Calibri" w:hAnsi="Calibri"/>
          <w:color w:val="000000"/>
          <w:sz w:val="20"/>
          <w:szCs w:val="20"/>
        </w:rPr>
      </w:pPr>
      <w:r>
        <w:rPr>
          <w:rFonts w:ascii="Calibri" w:hAnsi="Calibri"/>
          <w:b/>
          <w:color w:val="000000"/>
          <w:sz w:val="20"/>
          <w:szCs w:val="20"/>
        </w:rPr>
        <w:t>1. Ocenianie wiadomości i umiejętności:</w:t>
      </w:r>
    </w:p>
    <w:p>
      <w:pPr>
        <w:pStyle w:val="Normal"/>
        <w:widowControl w:val="false"/>
        <w:suppressAutoHyphens w:val="true"/>
        <w:bidi w:val="0"/>
        <w:spacing w:before="0" w:after="0"/>
        <w:ind w:hanging="0" w:left="57" w:right="0"/>
        <w:jc w:val="left"/>
        <w:rPr>
          <w:rFonts w:ascii="Calibri" w:hAnsi="Calibri"/>
          <w:color w:val="000000"/>
          <w:sz w:val="20"/>
          <w:szCs w:val="20"/>
        </w:rPr>
      </w:pPr>
      <w:r>
        <w:rPr>
          <w:rFonts w:ascii="Calibri" w:hAnsi="Calibri"/>
          <w:color w:val="000000"/>
          <w:sz w:val="20"/>
          <w:szCs w:val="20"/>
        </w:rPr>
        <w:t>Oceniamy:</w:t>
      </w:r>
    </w:p>
    <w:p>
      <w:pPr>
        <w:pStyle w:val="Normal"/>
        <w:widowControl w:val="false"/>
        <w:suppressAutoHyphens w:val="true"/>
        <w:bidi w:val="0"/>
        <w:spacing w:before="0" w:after="0"/>
        <w:ind w:hanging="737" w:left="737" w:right="0"/>
        <w:jc w:val="left"/>
        <w:rPr>
          <w:rFonts w:ascii="Calibri" w:hAnsi="Calibri"/>
          <w:color w:val="000000"/>
          <w:sz w:val="20"/>
          <w:szCs w:val="20"/>
        </w:rPr>
      </w:pPr>
      <w:r>
        <w:rPr>
          <w:rFonts w:ascii="Calibri" w:hAnsi="Calibri"/>
          <w:color w:val="000000"/>
          <w:sz w:val="20"/>
          <w:szCs w:val="20"/>
        </w:rPr>
        <w:t>a. wiadomości przedmiotowe:</w:t>
      </w:r>
    </w:p>
    <w:p>
      <w:pPr>
        <w:pStyle w:val="Normal"/>
        <w:numPr>
          <w:ilvl w:val="0"/>
          <w:numId w:val="34"/>
        </w:numPr>
        <w:rPr>
          <w:rFonts w:ascii="Calibri" w:hAnsi="Calibri"/>
          <w:color w:val="000000"/>
          <w:sz w:val="20"/>
          <w:szCs w:val="20"/>
        </w:rPr>
      </w:pPr>
      <w:r>
        <w:rPr>
          <w:rFonts w:ascii="Calibri" w:hAnsi="Calibri"/>
          <w:color w:val="000000"/>
          <w:sz w:val="20"/>
          <w:szCs w:val="20"/>
        </w:rPr>
        <w:t>Zgodnie z programem nauczania i kryteriami wynikającymi z podstaw programowych.</w:t>
      </w:r>
    </w:p>
    <w:p>
      <w:pPr>
        <w:pStyle w:val="Normal"/>
        <w:rPr>
          <w:rFonts w:ascii="Calibri" w:hAnsi="Calibri"/>
          <w:color w:val="000000"/>
          <w:sz w:val="20"/>
          <w:szCs w:val="20"/>
        </w:rPr>
      </w:pPr>
      <w:r>
        <w:rPr>
          <w:rFonts w:ascii="Calibri" w:hAnsi="Calibri"/>
          <w:color w:val="000000"/>
          <w:sz w:val="20"/>
          <w:szCs w:val="20"/>
        </w:rPr>
        <w:t>b. umiejętności przedmiotowe:</w:t>
      </w:r>
    </w:p>
    <w:p>
      <w:pPr>
        <w:pStyle w:val="Normal"/>
        <w:numPr>
          <w:ilvl w:val="0"/>
          <w:numId w:val="34"/>
        </w:numPr>
        <w:rPr>
          <w:rFonts w:ascii="Calibri" w:hAnsi="Calibri"/>
          <w:color w:val="000000"/>
          <w:sz w:val="20"/>
          <w:szCs w:val="20"/>
        </w:rPr>
      </w:pPr>
      <w:r>
        <w:rPr>
          <w:rFonts w:ascii="Calibri" w:hAnsi="Calibri"/>
          <w:color w:val="000000"/>
          <w:sz w:val="20"/>
          <w:szCs w:val="20"/>
        </w:rPr>
        <w:t>planowanie prostych eksperymentów,</w:t>
      </w:r>
    </w:p>
    <w:p>
      <w:pPr>
        <w:pStyle w:val="Normal"/>
        <w:numPr>
          <w:ilvl w:val="0"/>
          <w:numId w:val="34"/>
        </w:numPr>
        <w:rPr>
          <w:rFonts w:ascii="Calibri" w:hAnsi="Calibri"/>
          <w:color w:val="000000"/>
          <w:sz w:val="20"/>
          <w:szCs w:val="20"/>
        </w:rPr>
      </w:pPr>
      <w:r>
        <w:rPr>
          <w:rFonts w:ascii="Calibri" w:hAnsi="Calibri"/>
          <w:color w:val="000000"/>
          <w:sz w:val="20"/>
          <w:szCs w:val="20"/>
        </w:rPr>
        <w:t>analizowanie i interpretowanie wyników obserwacji i eksperymentów,</w:t>
      </w:r>
    </w:p>
    <w:p>
      <w:pPr>
        <w:pStyle w:val="Normal"/>
        <w:numPr>
          <w:ilvl w:val="0"/>
          <w:numId w:val="34"/>
        </w:numPr>
        <w:rPr>
          <w:rFonts w:ascii="Calibri" w:hAnsi="Calibri"/>
          <w:color w:val="000000"/>
          <w:sz w:val="20"/>
          <w:szCs w:val="20"/>
        </w:rPr>
      </w:pPr>
      <w:r>
        <w:rPr>
          <w:rFonts w:ascii="Calibri" w:hAnsi="Calibri"/>
          <w:color w:val="000000"/>
          <w:sz w:val="20"/>
          <w:szCs w:val="20"/>
        </w:rPr>
        <w:t>gromadzenie danych,</w:t>
      </w:r>
    </w:p>
    <w:p>
      <w:pPr>
        <w:pStyle w:val="Normal"/>
        <w:numPr>
          <w:ilvl w:val="0"/>
          <w:numId w:val="34"/>
        </w:numPr>
        <w:rPr>
          <w:rFonts w:ascii="Calibri" w:hAnsi="Calibri"/>
          <w:color w:val="000000"/>
          <w:sz w:val="20"/>
          <w:szCs w:val="20"/>
        </w:rPr>
      </w:pPr>
      <w:r>
        <w:rPr>
          <w:rFonts w:ascii="Calibri" w:hAnsi="Calibri"/>
          <w:color w:val="000000"/>
          <w:sz w:val="20"/>
          <w:szCs w:val="20"/>
        </w:rPr>
        <w:t>dostrzeganie związków przyczynowo – skutkowych,</w:t>
      </w:r>
    </w:p>
    <w:p>
      <w:pPr>
        <w:pStyle w:val="Normal"/>
        <w:numPr>
          <w:ilvl w:val="0"/>
          <w:numId w:val="34"/>
        </w:numPr>
        <w:rPr>
          <w:rFonts w:ascii="Calibri" w:hAnsi="Calibri"/>
          <w:color w:val="000000"/>
          <w:sz w:val="20"/>
          <w:szCs w:val="20"/>
        </w:rPr>
      </w:pPr>
      <w:r>
        <w:rPr>
          <w:rFonts w:ascii="Calibri" w:hAnsi="Calibri"/>
          <w:color w:val="000000"/>
          <w:sz w:val="20"/>
          <w:szCs w:val="20"/>
        </w:rPr>
        <w:t>porównywanie i wnioskowanie,</w:t>
      </w:r>
    </w:p>
    <w:p>
      <w:pPr>
        <w:pStyle w:val="Normal"/>
        <w:numPr>
          <w:ilvl w:val="0"/>
          <w:numId w:val="34"/>
        </w:numPr>
        <w:rPr>
          <w:rFonts w:ascii="Calibri" w:hAnsi="Calibri"/>
          <w:color w:val="000000"/>
          <w:sz w:val="20"/>
          <w:szCs w:val="20"/>
        </w:rPr>
      </w:pPr>
      <w:r>
        <w:rPr>
          <w:rFonts w:ascii="Calibri" w:hAnsi="Calibri"/>
          <w:color w:val="000000"/>
          <w:sz w:val="20"/>
          <w:szCs w:val="20"/>
        </w:rPr>
        <w:t>wykonywanie prostych wykresów, diagramów i ich interpretowanie,</w:t>
      </w:r>
    </w:p>
    <w:p>
      <w:pPr>
        <w:pStyle w:val="Normal"/>
        <w:numPr>
          <w:ilvl w:val="0"/>
          <w:numId w:val="34"/>
        </w:numPr>
        <w:rPr>
          <w:rFonts w:ascii="Calibri" w:hAnsi="Calibri"/>
          <w:color w:val="000000"/>
          <w:sz w:val="20"/>
          <w:szCs w:val="20"/>
        </w:rPr>
      </w:pPr>
      <w:r>
        <w:rPr>
          <w:rFonts w:ascii="Calibri" w:hAnsi="Calibri"/>
          <w:color w:val="000000"/>
          <w:sz w:val="20"/>
          <w:szCs w:val="20"/>
        </w:rPr>
        <w:t>posługiwanie się środkami technicznymi,</w:t>
      </w:r>
    </w:p>
    <w:p>
      <w:pPr>
        <w:pStyle w:val="Normal"/>
        <w:numPr>
          <w:ilvl w:val="0"/>
          <w:numId w:val="34"/>
        </w:numPr>
        <w:rPr>
          <w:rFonts w:ascii="Calibri" w:hAnsi="Calibri"/>
          <w:color w:val="000000"/>
          <w:sz w:val="20"/>
          <w:szCs w:val="20"/>
        </w:rPr>
      </w:pPr>
      <w:r>
        <w:rPr>
          <w:rFonts w:ascii="Calibri" w:hAnsi="Calibri"/>
          <w:color w:val="000000"/>
          <w:sz w:val="20"/>
          <w:szCs w:val="20"/>
        </w:rPr>
        <w:t>korzystanie z różnych źródeł informacji.</w:t>
      </w:r>
    </w:p>
    <w:p>
      <w:pPr>
        <w:pStyle w:val="Normal"/>
        <w:rPr>
          <w:rFonts w:ascii="Calibri" w:hAnsi="Calibri"/>
          <w:color w:val="000000"/>
          <w:sz w:val="20"/>
          <w:szCs w:val="20"/>
        </w:rPr>
      </w:pPr>
      <w:r>
        <w:rPr>
          <w:rFonts w:ascii="Calibri" w:hAnsi="Calibri"/>
          <w:color w:val="000000"/>
          <w:sz w:val="20"/>
          <w:szCs w:val="20"/>
        </w:rPr>
        <w:t xml:space="preserve"> </w:t>
      </w:r>
      <w:r>
        <w:rPr>
          <w:rFonts w:ascii="Calibri" w:hAnsi="Calibri"/>
          <w:color w:val="000000"/>
          <w:sz w:val="20"/>
          <w:szCs w:val="20"/>
        </w:rPr>
        <w:t>c. postawę ucznia i jego aktywność:</w:t>
      </w:r>
    </w:p>
    <w:p>
      <w:pPr>
        <w:pStyle w:val="Normal"/>
        <w:numPr>
          <w:ilvl w:val="0"/>
          <w:numId w:val="35"/>
        </w:numPr>
        <w:tabs>
          <w:tab w:val="clear" w:pos="720"/>
          <w:tab w:val="left" w:pos="1080" w:leader="none"/>
        </w:tabs>
        <w:ind w:firstLine="360" w:left="720" w:right="0"/>
        <w:rPr>
          <w:rFonts w:ascii="Calibri" w:hAnsi="Calibri"/>
          <w:color w:val="000000"/>
          <w:sz w:val="20"/>
          <w:szCs w:val="20"/>
        </w:rPr>
      </w:pPr>
      <w:r>
        <w:rPr>
          <w:rFonts w:ascii="Calibri" w:hAnsi="Calibri"/>
          <w:color w:val="000000"/>
          <w:sz w:val="20"/>
          <w:szCs w:val="20"/>
        </w:rPr>
        <w:t>pracę w grupie,</w:t>
      </w:r>
    </w:p>
    <w:p>
      <w:pPr>
        <w:pStyle w:val="Normal"/>
        <w:numPr>
          <w:ilvl w:val="0"/>
          <w:numId w:val="35"/>
        </w:numPr>
        <w:tabs>
          <w:tab w:val="clear" w:pos="720"/>
          <w:tab w:val="left" w:pos="1080" w:leader="none"/>
        </w:tabs>
        <w:ind w:firstLine="360" w:left="720" w:right="0"/>
        <w:rPr>
          <w:rFonts w:ascii="Calibri" w:hAnsi="Calibri"/>
          <w:color w:val="000000"/>
          <w:sz w:val="20"/>
          <w:szCs w:val="20"/>
        </w:rPr>
      </w:pPr>
      <w:r>
        <w:rPr>
          <w:rFonts w:ascii="Calibri" w:hAnsi="Calibri"/>
          <w:color w:val="000000"/>
          <w:sz w:val="20"/>
          <w:szCs w:val="20"/>
        </w:rPr>
        <w:t>dyskusję,</w:t>
      </w:r>
    </w:p>
    <w:p>
      <w:pPr>
        <w:pStyle w:val="Normal"/>
        <w:numPr>
          <w:ilvl w:val="0"/>
          <w:numId w:val="35"/>
        </w:numPr>
        <w:tabs>
          <w:tab w:val="clear" w:pos="720"/>
          <w:tab w:val="left" w:pos="1080" w:leader="none"/>
        </w:tabs>
        <w:ind w:firstLine="360" w:left="720" w:right="0"/>
        <w:rPr>
          <w:rFonts w:ascii="Calibri" w:hAnsi="Calibri"/>
          <w:color w:val="000000"/>
          <w:sz w:val="20"/>
          <w:szCs w:val="20"/>
        </w:rPr>
      </w:pPr>
      <w:r>
        <w:rPr>
          <w:rFonts w:ascii="Calibri" w:hAnsi="Calibri"/>
          <w:color w:val="000000"/>
          <w:sz w:val="20"/>
          <w:szCs w:val="20"/>
        </w:rPr>
        <w:t>aktywność na lekcji,</w:t>
      </w:r>
    </w:p>
    <w:p>
      <w:pPr>
        <w:pStyle w:val="Normal"/>
        <w:numPr>
          <w:ilvl w:val="0"/>
          <w:numId w:val="35"/>
        </w:numPr>
        <w:tabs>
          <w:tab w:val="clear" w:pos="720"/>
          <w:tab w:val="left" w:pos="1080" w:leader="none"/>
        </w:tabs>
        <w:ind w:firstLine="360" w:left="720" w:right="0"/>
        <w:rPr>
          <w:rFonts w:ascii="Calibri" w:hAnsi="Calibri"/>
          <w:color w:val="000000"/>
          <w:sz w:val="20"/>
          <w:szCs w:val="20"/>
        </w:rPr>
      </w:pPr>
      <w:r>
        <w:rPr>
          <w:rFonts w:ascii="Calibri" w:hAnsi="Calibri"/>
          <w:color w:val="000000"/>
          <w:sz w:val="20"/>
          <w:szCs w:val="20"/>
        </w:rPr>
        <w:t>odpowiedzialność za podjęte zadania, kreatywność</w:t>
      </w:r>
    </w:p>
    <w:p>
      <w:pPr>
        <w:pStyle w:val="Normal"/>
        <w:widowControl/>
        <w:numPr>
          <w:ilvl w:val="0"/>
          <w:numId w:val="0"/>
        </w:numPr>
        <w:tabs>
          <w:tab w:val="clear" w:pos="720"/>
          <w:tab w:val="left" w:pos="1080" w:leader="none"/>
        </w:tabs>
        <w:suppressAutoHyphens w:val="true"/>
        <w:bidi w:val="0"/>
        <w:spacing w:before="0" w:after="0"/>
        <w:ind w:hanging="737" w:left="0" w:right="0"/>
        <w:jc w:val="left"/>
        <w:rPr>
          <w:rFonts w:ascii="Calibri" w:hAnsi="Calibri"/>
          <w:color w:val="000000"/>
          <w:sz w:val="20"/>
          <w:szCs w:val="20"/>
        </w:rPr>
      </w:pPr>
      <w:r>
        <w:rPr>
          <w:rFonts w:ascii="Calibri" w:hAnsi="Calibri"/>
          <w:color w:val="000000"/>
          <w:sz w:val="20"/>
          <w:szCs w:val="20"/>
        </w:rPr>
        <w:t xml:space="preserve">              </w:t>
      </w:r>
      <w:r>
        <w:rPr>
          <w:rFonts w:ascii="Calibri" w:hAnsi="Calibri"/>
          <w:b/>
          <w:bCs/>
          <w:color w:val="000000"/>
          <w:sz w:val="20"/>
          <w:szCs w:val="20"/>
        </w:rPr>
        <w:t>2</w:t>
      </w:r>
      <w:r>
        <w:rPr>
          <w:rFonts w:ascii="Calibri" w:hAnsi="Calibri"/>
          <w:color w:val="000000"/>
          <w:sz w:val="20"/>
          <w:szCs w:val="20"/>
        </w:rPr>
        <w:t xml:space="preserve">. </w:t>
      </w:r>
      <w:r>
        <w:rPr>
          <w:rFonts w:ascii="Calibri" w:hAnsi="Calibri"/>
          <w:b/>
          <w:color w:val="000000"/>
          <w:sz w:val="20"/>
          <w:szCs w:val="20"/>
        </w:rPr>
        <w:t>Formy podlegające ocenie:</w:t>
      </w:r>
    </w:p>
    <w:p>
      <w:pPr>
        <w:pStyle w:val="Normal"/>
        <w:ind w:right="0"/>
        <w:rPr>
          <w:rFonts w:ascii="Calibri" w:hAnsi="Calibri"/>
          <w:b/>
          <w:color w:val="000000"/>
          <w:sz w:val="20"/>
          <w:szCs w:val="20"/>
        </w:rPr>
      </w:pPr>
      <w:r>
        <w:rPr>
          <w:rFonts w:ascii="Calibri" w:hAnsi="Calibri"/>
          <w:b/>
          <w:color w:val="000000"/>
          <w:sz w:val="20"/>
          <w:szCs w:val="20"/>
        </w:rPr>
        <w:t xml:space="preserve">a. odpowiedzi ustne </w:t>
      </w:r>
    </w:p>
    <w:p>
      <w:pPr>
        <w:pStyle w:val="Normal"/>
        <w:rPr>
          <w:rFonts w:ascii="Calibri" w:hAnsi="Calibri"/>
          <w:color w:val="000000"/>
          <w:sz w:val="20"/>
          <w:szCs w:val="20"/>
        </w:rPr>
      </w:pPr>
      <w:r>
        <w:rPr>
          <w:rFonts w:ascii="Calibri" w:hAnsi="Calibri"/>
          <w:b/>
          <w:color w:val="000000"/>
          <w:sz w:val="20"/>
          <w:szCs w:val="20"/>
        </w:rPr>
        <w:t>b. formy pisemne:</w:t>
        <w:br/>
        <w:t xml:space="preserve">- </w:t>
      </w:r>
      <w:r>
        <w:rPr>
          <w:rFonts w:ascii="Calibri" w:hAnsi="Calibri"/>
          <w:color w:val="000000"/>
          <w:sz w:val="20"/>
          <w:szCs w:val="20"/>
        </w:rPr>
        <w:t>kartkówki obejmuj</w:t>
      </w:r>
      <w:r>
        <w:rPr>
          <w:rFonts w:eastAsia="TimesNewRoman;Times New Roman" w:hint="eastAsia" w:ascii="Calibri" w:hAnsi="Calibri"/>
          <w:color w:val="000000"/>
          <w:sz w:val="20"/>
          <w:szCs w:val="20"/>
        </w:rPr>
        <w:t>ą</w:t>
      </w:r>
      <w:r>
        <w:rPr>
          <w:rFonts w:ascii="Calibri" w:hAnsi="Calibri"/>
          <w:color w:val="000000"/>
          <w:sz w:val="20"/>
          <w:szCs w:val="20"/>
        </w:rPr>
        <w:t>ce materiał z trzech ostatnich lekcji (nie musz</w:t>
      </w:r>
      <w:r>
        <w:rPr>
          <w:rFonts w:eastAsia="TimesNewRoman;Times New Roman" w:hint="eastAsia" w:ascii="Calibri" w:hAnsi="Calibri"/>
          <w:color w:val="000000"/>
          <w:sz w:val="20"/>
          <w:szCs w:val="20"/>
        </w:rPr>
        <w:t>ą</w:t>
      </w:r>
      <w:r>
        <w:rPr>
          <w:rFonts w:eastAsia="TimesNewRoman;Times New Roman" w:ascii="Calibri" w:hAnsi="Calibri"/>
          <w:color w:val="000000"/>
          <w:sz w:val="20"/>
          <w:szCs w:val="20"/>
        </w:rPr>
        <w:t xml:space="preserve"> </w:t>
      </w:r>
      <w:r>
        <w:rPr>
          <w:rFonts w:ascii="Calibri" w:hAnsi="Calibri"/>
          <w:color w:val="000000"/>
          <w:sz w:val="20"/>
          <w:szCs w:val="20"/>
        </w:rPr>
        <w:t>by</w:t>
      </w:r>
      <w:r>
        <w:rPr>
          <w:rFonts w:eastAsia="TimesNewRoman;Times New Roman" w:hint="eastAsia" w:ascii="Calibri" w:hAnsi="Calibri"/>
          <w:color w:val="000000"/>
          <w:sz w:val="20"/>
          <w:szCs w:val="20"/>
        </w:rPr>
        <w:t>ć</w:t>
      </w:r>
      <w:r>
        <w:rPr>
          <w:rFonts w:eastAsia="TimesNewRoman;Times New Roman" w:ascii="Calibri" w:hAnsi="Calibri"/>
          <w:color w:val="000000"/>
          <w:sz w:val="20"/>
          <w:szCs w:val="20"/>
        </w:rPr>
        <w:t xml:space="preserve"> </w:t>
      </w:r>
      <w:r>
        <w:rPr>
          <w:rFonts w:ascii="Calibri" w:hAnsi="Calibri"/>
          <w:color w:val="000000"/>
          <w:sz w:val="20"/>
          <w:szCs w:val="20"/>
        </w:rPr>
        <w:t>wcze</w:t>
      </w:r>
      <w:r>
        <w:rPr>
          <w:rFonts w:eastAsia="TimesNewRoman;Times New Roman" w:hint="eastAsia" w:ascii="Calibri" w:hAnsi="Calibri"/>
          <w:color w:val="000000"/>
          <w:sz w:val="20"/>
          <w:szCs w:val="20"/>
        </w:rPr>
        <w:t>ś</w:t>
      </w:r>
      <w:r>
        <w:rPr>
          <w:rFonts w:ascii="Calibri" w:hAnsi="Calibri"/>
          <w:color w:val="000000"/>
          <w:sz w:val="20"/>
          <w:szCs w:val="20"/>
        </w:rPr>
        <w:t>niej zapowiedziane),</w:t>
        <w:br/>
        <w:t>- testy, sprawdziany podsumowuj</w:t>
      </w:r>
      <w:r>
        <w:rPr>
          <w:rFonts w:eastAsia="TimesNewRoman;Times New Roman" w:hint="eastAsia" w:ascii="Calibri" w:hAnsi="Calibri"/>
          <w:color w:val="000000"/>
          <w:sz w:val="20"/>
          <w:szCs w:val="20"/>
        </w:rPr>
        <w:t>ą</w:t>
      </w:r>
      <w:r>
        <w:rPr>
          <w:rFonts w:ascii="Calibri" w:hAnsi="Calibri"/>
          <w:color w:val="000000"/>
          <w:sz w:val="20"/>
          <w:szCs w:val="20"/>
        </w:rPr>
        <w:t>ce poszczególne działy (zapowiedziane z tygodniowym wyprzedzeniem),</w:t>
      </w:r>
    </w:p>
    <w:p>
      <w:pPr>
        <w:pStyle w:val="Normal"/>
        <w:jc w:val="both"/>
        <w:rPr>
          <w:rFonts w:ascii="Calibri" w:hAnsi="Calibri"/>
          <w:color w:val="000000"/>
          <w:sz w:val="20"/>
          <w:szCs w:val="20"/>
        </w:rPr>
      </w:pPr>
      <w:r>
        <w:rPr>
          <w:rFonts w:ascii="Calibri" w:hAnsi="Calibri"/>
          <w:color w:val="000000"/>
          <w:sz w:val="20"/>
          <w:szCs w:val="20"/>
        </w:rPr>
        <w:t xml:space="preserve">Przyłapanie ucznia na niesamodzielnej pracy podczas kartkówki, na sprawdzianie lub teście wiąże się z otrzymaniem oceny niedostatecznej oraz zakończeniem pracy. </w:t>
        <w:br/>
        <w:t>Przez niesamodzielną pracę należy rozumieć min.: odwracanie się, rozmawianie, odpisywanie, przepisywanie, itp.</w:t>
      </w:r>
    </w:p>
    <w:p>
      <w:pPr>
        <w:pStyle w:val="Normal"/>
        <w:rPr>
          <w:rFonts w:ascii="Calibri" w:hAnsi="Calibri"/>
          <w:color w:val="000000"/>
          <w:sz w:val="20"/>
          <w:szCs w:val="20"/>
        </w:rPr>
      </w:pPr>
      <w:r>
        <w:rPr>
          <w:rFonts w:ascii="Calibri" w:hAnsi="Calibri"/>
          <w:b/>
          <w:color w:val="000000"/>
          <w:sz w:val="20"/>
          <w:szCs w:val="20"/>
        </w:rPr>
        <w:t>c. wkład pracy w przyswojenie wiedzy na lekcji bie</w:t>
      </w:r>
      <w:r>
        <w:rPr>
          <w:rFonts w:eastAsia="TimesNewRoman;Times New Roman" w:ascii="Calibri" w:hAnsi="Calibri"/>
          <w:b/>
          <w:color w:val="000000"/>
          <w:sz w:val="20"/>
          <w:szCs w:val="20"/>
        </w:rPr>
        <w:t>żą</w:t>
      </w:r>
      <w:r>
        <w:rPr>
          <w:rFonts w:ascii="Calibri" w:hAnsi="Calibri"/>
          <w:b/>
          <w:color w:val="000000"/>
          <w:sz w:val="20"/>
          <w:szCs w:val="20"/>
        </w:rPr>
        <w:t>cej (krótkie wypowiedzi na lekcji, praca w grupie, obserwacja do</w:t>
      </w:r>
      <w:r>
        <w:rPr>
          <w:rFonts w:eastAsia="TimesNewRoman;Times New Roman" w:hint="eastAsia" w:ascii="Calibri" w:hAnsi="Calibri"/>
          <w:b/>
          <w:color w:val="000000"/>
          <w:sz w:val="20"/>
          <w:szCs w:val="20"/>
        </w:rPr>
        <w:t>ś</w:t>
      </w:r>
      <w:r>
        <w:rPr>
          <w:rFonts w:ascii="Calibri" w:hAnsi="Calibri"/>
          <w:b/>
          <w:color w:val="000000"/>
          <w:sz w:val="20"/>
          <w:szCs w:val="20"/>
        </w:rPr>
        <w:t>wiadcze</w:t>
      </w:r>
      <w:r>
        <w:rPr>
          <w:rFonts w:eastAsia="TimesNewRoman;Times New Roman" w:hint="eastAsia" w:ascii="Calibri" w:hAnsi="Calibri"/>
          <w:b/>
          <w:color w:val="000000"/>
          <w:sz w:val="20"/>
          <w:szCs w:val="20"/>
        </w:rPr>
        <w:t>ń</w:t>
      </w:r>
      <w:r>
        <w:rPr>
          <w:rFonts w:eastAsia="TimesNewRoman;Times New Roman" w:ascii="Calibri" w:hAnsi="Calibri"/>
          <w:b/>
          <w:color w:val="000000"/>
          <w:sz w:val="20"/>
          <w:szCs w:val="20"/>
        </w:rPr>
        <w:t xml:space="preserve"> </w:t>
      </w:r>
      <w:r>
        <w:rPr>
          <w:rFonts w:ascii="Calibri" w:hAnsi="Calibri"/>
          <w:b/>
          <w:color w:val="000000"/>
          <w:sz w:val="20"/>
          <w:szCs w:val="20"/>
        </w:rPr>
        <w:t>i wyci</w:t>
      </w:r>
      <w:r>
        <w:rPr>
          <w:rFonts w:eastAsia="TimesNewRoman;Times New Roman" w:hint="eastAsia" w:ascii="Calibri" w:hAnsi="Calibri"/>
          <w:b/>
          <w:color w:val="000000"/>
          <w:sz w:val="20"/>
          <w:szCs w:val="20"/>
        </w:rPr>
        <w:t>ą</w:t>
      </w:r>
      <w:r>
        <w:rPr>
          <w:rFonts w:ascii="Calibri" w:hAnsi="Calibri"/>
          <w:b/>
          <w:color w:val="000000"/>
          <w:sz w:val="20"/>
          <w:szCs w:val="20"/>
        </w:rPr>
        <w:t>ganie wniosków itp.).</w:t>
      </w:r>
    </w:p>
    <w:p>
      <w:pPr>
        <w:pStyle w:val="Normal"/>
        <w:jc w:val="both"/>
        <w:rPr>
          <w:rFonts w:ascii="Calibri" w:hAnsi="Calibri"/>
          <w:color w:val="000000"/>
          <w:sz w:val="20"/>
          <w:szCs w:val="20"/>
        </w:rPr>
      </w:pPr>
      <w:r>
        <w:rPr>
          <w:rFonts w:ascii="Calibri" w:hAnsi="Calibri"/>
          <w:b/>
          <w:color w:val="000000"/>
          <w:sz w:val="20"/>
          <w:szCs w:val="20"/>
        </w:rPr>
        <w:t>d. umiej</w:t>
      </w:r>
      <w:r>
        <w:rPr>
          <w:rFonts w:eastAsia="TimesNewRoman;Times New Roman" w:hint="eastAsia" w:ascii="Calibri" w:hAnsi="Calibri"/>
          <w:b/>
          <w:color w:val="000000"/>
          <w:sz w:val="20"/>
          <w:szCs w:val="20"/>
        </w:rPr>
        <w:t>ę</w:t>
      </w:r>
      <w:r>
        <w:rPr>
          <w:rFonts w:ascii="Calibri" w:hAnsi="Calibri"/>
          <w:b/>
          <w:color w:val="000000"/>
          <w:sz w:val="20"/>
          <w:szCs w:val="20"/>
        </w:rPr>
        <w:t>tno</w:t>
      </w:r>
      <w:r>
        <w:rPr>
          <w:rFonts w:eastAsia="TimesNewRoman;Times New Roman" w:hint="eastAsia" w:ascii="Calibri" w:hAnsi="Calibri"/>
          <w:b/>
          <w:color w:val="000000"/>
          <w:sz w:val="20"/>
          <w:szCs w:val="20"/>
        </w:rPr>
        <w:t>ś</w:t>
      </w:r>
      <w:r>
        <w:rPr>
          <w:rFonts w:ascii="Calibri" w:hAnsi="Calibri"/>
          <w:b/>
          <w:color w:val="000000"/>
          <w:sz w:val="20"/>
          <w:szCs w:val="20"/>
        </w:rPr>
        <w:t>ci doskonalone w szkole/ domu (projekty).</w:t>
      </w:r>
    </w:p>
    <w:p>
      <w:pPr>
        <w:pStyle w:val="Normal"/>
        <w:jc w:val="both"/>
        <w:rPr>
          <w:rFonts w:ascii="Calibri" w:hAnsi="Calibri"/>
          <w:color w:val="000000"/>
          <w:sz w:val="20"/>
          <w:szCs w:val="20"/>
        </w:rPr>
      </w:pPr>
      <w:r>
        <w:rPr>
          <w:rFonts w:ascii="Calibri" w:hAnsi="Calibri"/>
          <w:b/>
          <w:color w:val="000000"/>
          <w:sz w:val="20"/>
          <w:szCs w:val="20"/>
        </w:rPr>
        <w:t>f. prace dodatkowe</w:t>
      </w:r>
      <w:r>
        <w:rPr>
          <w:rFonts w:ascii="Calibri" w:hAnsi="Calibri"/>
          <w:color w:val="000000"/>
          <w:sz w:val="20"/>
          <w:szCs w:val="20"/>
        </w:rPr>
        <w:t xml:space="preserve"> (opracowanie referatu, pomocy multimedialnych na zadany temat, opracowania oparte na innych </w:t>
      </w:r>
      <w:r>
        <w:rPr>
          <w:rFonts w:eastAsia="TimesNewRoman;Times New Roman" w:hint="eastAsia" w:ascii="Calibri" w:hAnsi="Calibri"/>
          <w:color w:val="000000"/>
          <w:sz w:val="20"/>
          <w:szCs w:val="20"/>
        </w:rPr>
        <w:t>ź</w:t>
      </w:r>
      <w:r>
        <w:rPr>
          <w:rFonts w:ascii="Calibri" w:hAnsi="Calibri"/>
          <w:color w:val="000000"/>
          <w:sz w:val="20"/>
          <w:szCs w:val="20"/>
        </w:rPr>
        <w:t>ródłach niż</w:t>
      </w:r>
      <w:r>
        <w:rPr>
          <w:rFonts w:eastAsia="TimesNewRoman;Times New Roman" w:ascii="Calibri" w:hAnsi="Calibri"/>
          <w:color w:val="000000"/>
          <w:sz w:val="20"/>
          <w:szCs w:val="20"/>
        </w:rPr>
        <w:t xml:space="preserve"> </w:t>
      </w:r>
      <w:r>
        <w:rPr>
          <w:rFonts w:ascii="Calibri" w:hAnsi="Calibri"/>
          <w:color w:val="000000"/>
          <w:sz w:val="20"/>
          <w:szCs w:val="20"/>
        </w:rPr>
        <w:t>podr</w:t>
      </w:r>
      <w:r>
        <w:rPr>
          <w:rFonts w:eastAsia="TimesNewRoman;Times New Roman" w:hint="eastAsia" w:ascii="Calibri" w:hAnsi="Calibri"/>
          <w:color w:val="000000"/>
          <w:sz w:val="20"/>
          <w:szCs w:val="20"/>
        </w:rPr>
        <w:t>ę</w:t>
      </w:r>
      <w:r>
        <w:rPr>
          <w:rFonts w:ascii="Calibri" w:hAnsi="Calibri"/>
          <w:color w:val="000000"/>
          <w:sz w:val="20"/>
          <w:szCs w:val="20"/>
        </w:rPr>
        <w:t>cznik, plansze, rysunki, okazy wzbogacaj</w:t>
      </w:r>
      <w:r>
        <w:rPr>
          <w:rFonts w:eastAsia="TimesNewRoman;Times New Roman" w:hint="eastAsia" w:ascii="Calibri" w:hAnsi="Calibri"/>
          <w:color w:val="000000"/>
          <w:sz w:val="20"/>
          <w:szCs w:val="20"/>
        </w:rPr>
        <w:t>ą</w:t>
      </w:r>
      <w:r>
        <w:rPr>
          <w:rFonts w:ascii="Calibri" w:hAnsi="Calibri"/>
          <w:color w:val="000000"/>
          <w:sz w:val="20"/>
          <w:szCs w:val="20"/>
        </w:rPr>
        <w:t>ce zbiory itp.) – uczeń otrzymuje ocenę  w skali celuj</w:t>
      </w:r>
      <w:r>
        <w:rPr>
          <w:rFonts w:eastAsia="TimesNewRoman;Times New Roman" w:hint="eastAsia" w:ascii="Calibri" w:hAnsi="Calibri"/>
          <w:color w:val="000000"/>
          <w:sz w:val="20"/>
          <w:szCs w:val="20"/>
        </w:rPr>
        <w:t>ą</w:t>
      </w:r>
      <w:r>
        <w:rPr>
          <w:rFonts w:ascii="Calibri" w:hAnsi="Calibri"/>
          <w:color w:val="000000"/>
          <w:sz w:val="20"/>
          <w:szCs w:val="20"/>
        </w:rPr>
        <w:t>cy – bardzo dobry – dobry – dostateczny – dopuszczający.</w:t>
      </w:r>
    </w:p>
    <w:p>
      <w:pPr>
        <w:pStyle w:val="Normal"/>
        <w:jc w:val="both"/>
        <w:rPr>
          <w:rFonts w:ascii="Calibri" w:hAnsi="Calibri"/>
          <w:color w:val="000000"/>
          <w:sz w:val="20"/>
          <w:szCs w:val="20"/>
        </w:rPr>
      </w:pPr>
      <w:r>
        <w:rPr>
          <w:rFonts w:ascii="Calibri" w:hAnsi="Calibri"/>
          <w:b/>
          <w:color w:val="000000"/>
          <w:sz w:val="20"/>
          <w:szCs w:val="20"/>
        </w:rPr>
        <w:t>g. za czynny udział w zajęciach pozalekcyjnych</w:t>
      </w:r>
      <w:r>
        <w:rPr>
          <w:rFonts w:ascii="Calibri" w:hAnsi="Calibri"/>
          <w:color w:val="000000"/>
          <w:sz w:val="20"/>
          <w:szCs w:val="20"/>
        </w:rPr>
        <w:t xml:space="preserve"> związanych z poszerzaniem  i gruntowaniem wiadomości uczeń otrzymuje dodatkowe oceny (także celujące).</w:t>
        <w:br/>
        <w:br/>
        <w:br/>
      </w:r>
      <w:r>
        <w:rPr>
          <w:rFonts w:ascii="Calibri" w:hAnsi="Calibri"/>
          <w:b/>
          <w:bCs/>
          <w:color w:val="000000"/>
          <w:sz w:val="20"/>
          <w:szCs w:val="20"/>
        </w:rPr>
        <w:t>3</w:t>
      </w:r>
      <w:r>
        <w:rPr>
          <w:rFonts w:ascii="Calibri" w:hAnsi="Calibri"/>
          <w:b/>
          <w:color w:val="000000"/>
          <w:sz w:val="20"/>
          <w:szCs w:val="20"/>
        </w:rPr>
        <w:t>. Wymagania ogólne na poszczególne stopnie:</w:t>
      </w:r>
    </w:p>
    <w:p>
      <w:pPr>
        <w:pStyle w:val="Normal"/>
        <w:ind w:left="360" w:right="0"/>
        <w:rPr>
          <w:rFonts w:ascii="Calibri" w:hAnsi="Calibri"/>
          <w:b/>
          <w:color w:val="000000"/>
          <w:sz w:val="20"/>
          <w:szCs w:val="20"/>
        </w:rPr>
      </w:pPr>
      <w:r>
        <w:rPr>
          <w:rFonts w:ascii="Calibri" w:hAnsi="Calibri"/>
          <w:b/>
          <w:color w:val="000000"/>
          <w:sz w:val="20"/>
          <w:szCs w:val="20"/>
        </w:rPr>
      </w:r>
    </w:p>
    <w:p>
      <w:pPr>
        <w:pStyle w:val="Normal"/>
        <w:numPr>
          <w:ilvl w:val="0"/>
          <w:numId w:val="36"/>
        </w:numPr>
        <w:tabs>
          <w:tab w:val="clear" w:pos="720"/>
          <w:tab w:val="left" w:pos="360" w:leader="none"/>
        </w:tabs>
        <w:ind w:hanging="540" w:left="360" w:right="0"/>
        <w:rPr>
          <w:rFonts w:ascii="Calibri" w:hAnsi="Calibri"/>
          <w:color w:val="000000"/>
          <w:sz w:val="20"/>
          <w:szCs w:val="20"/>
        </w:rPr>
      </w:pPr>
      <w:r>
        <w:rPr>
          <w:rFonts w:ascii="Calibri" w:hAnsi="Calibri"/>
          <w:b/>
          <w:color w:val="000000"/>
          <w:sz w:val="20"/>
          <w:szCs w:val="20"/>
        </w:rPr>
        <w:t>celujący</w:t>
      </w:r>
      <w:r>
        <w:rPr>
          <w:rFonts w:ascii="Calibri" w:hAnsi="Calibri"/>
          <w:color w:val="000000"/>
          <w:sz w:val="20"/>
          <w:szCs w:val="20"/>
        </w:rPr>
        <w:t>, gdy uczeń opanował treści obejmujące pełen zakres kształcenia oraz posiada wiedzę i umiejętności,  również wykraczające poza program nauczania dla danej klasy, potrafi selekcjonować i hierarchizować wiadomości, z powodzeniem bierze udział w konkursach i olimpiadach przedmiotowych, pod okiem nauczyciela prowadzi własne prace badawcze, aktywnie uczestniczy w zajęciach stosuje oraz wiadomości  w sytuacjach trudnych;</w:t>
      </w:r>
    </w:p>
    <w:p>
      <w:pPr>
        <w:pStyle w:val="Normal"/>
        <w:numPr>
          <w:ilvl w:val="0"/>
          <w:numId w:val="36"/>
        </w:numPr>
        <w:tabs>
          <w:tab w:val="clear" w:pos="720"/>
          <w:tab w:val="left" w:pos="360" w:leader="none"/>
        </w:tabs>
        <w:ind w:hanging="540" w:left="360" w:right="0"/>
        <w:rPr>
          <w:rFonts w:ascii="Calibri" w:hAnsi="Calibri"/>
          <w:color w:val="000000"/>
          <w:sz w:val="20"/>
          <w:szCs w:val="20"/>
        </w:rPr>
      </w:pPr>
      <w:r>
        <w:rPr>
          <w:rFonts w:ascii="Calibri" w:hAnsi="Calibri"/>
          <w:b/>
          <w:color w:val="000000"/>
          <w:sz w:val="20"/>
          <w:szCs w:val="20"/>
        </w:rPr>
        <w:t>bardzo dobry</w:t>
      </w:r>
      <w:r>
        <w:rPr>
          <w:rFonts w:ascii="Calibri" w:hAnsi="Calibri"/>
          <w:color w:val="000000"/>
          <w:sz w:val="20"/>
          <w:szCs w:val="20"/>
        </w:rPr>
        <w:t>, gdy uczeń opanował treści obejmujące pełen zakres kształcenia, umie samodzielnie interpretować zjawiska,  odpowiedź jest wyczerpująca, bezbłędna, samodzielna, uwzględniająca język przedmiotowy   i adekwatna do poziomu wymagań na ocenę bardzo dobrą, aktywnie uczestniczy w zajęciach oraz stosuje wiadomości  w sytuacjach trudniejszych;</w:t>
      </w:r>
    </w:p>
    <w:p>
      <w:pPr>
        <w:pStyle w:val="Normal"/>
        <w:numPr>
          <w:ilvl w:val="0"/>
          <w:numId w:val="36"/>
        </w:numPr>
        <w:tabs>
          <w:tab w:val="clear" w:pos="720"/>
          <w:tab w:val="left" w:pos="360" w:leader="none"/>
        </w:tabs>
        <w:ind w:hanging="540" w:left="360" w:right="0"/>
        <w:rPr>
          <w:rFonts w:ascii="Calibri" w:hAnsi="Calibri"/>
          <w:color w:val="000000"/>
          <w:sz w:val="20"/>
          <w:szCs w:val="20"/>
        </w:rPr>
      </w:pPr>
      <w:r>
        <w:rPr>
          <w:rFonts w:ascii="Calibri" w:hAnsi="Calibri"/>
          <w:b/>
          <w:color w:val="000000"/>
          <w:sz w:val="20"/>
          <w:szCs w:val="20"/>
        </w:rPr>
        <w:t>dobry</w:t>
      </w:r>
      <w:r>
        <w:rPr>
          <w:rFonts w:ascii="Calibri" w:hAnsi="Calibri"/>
          <w:color w:val="000000"/>
          <w:sz w:val="20"/>
          <w:szCs w:val="20"/>
        </w:rPr>
        <w:t>, gdy odpowiedź jest samodzielna, z niewielkimi usterkami językowymi, zgodna z wymaganiami na ocenę dobrą, uczeń właściwie stosuje terminologię przedmiotową, aktywnie uczestniczy w zajęciach oraz stosuje wiadomości w sytuacjach typowych, rozwiązuje typowe problemy z wykorzystaniem poznanych metod, samodzielnie pracuje  z podręcznikiem i materiałami źródłowymi;</w:t>
      </w:r>
    </w:p>
    <w:p>
      <w:pPr>
        <w:pStyle w:val="Normal"/>
        <w:numPr>
          <w:ilvl w:val="0"/>
          <w:numId w:val="36"/>
        </w:numPr>
        <w:tabs>
          <w:tab w:val="clear" w:pos="720"/>
          <w:tab w:val="left" w:pos="360" w:leader="none"/>
        </w:tabs>
        <w:ind w:hanging="540" w:left="360" w:right="0"/>
        <w:rPr>
          <w:rFonts w:ascii="Calibri" w:hAnsi="Calibri"/>
          <w:color w:val="000000"/>
          <w:sz w:val="20"/>
          <w:szCs w:val="20"/>
        </w:rPr>
      </w:pPr>
      <w:r>
        <w:rPr>
          <w:rFonts w:ascii="Calibri" w:hAnsi="Calibri"/>
          <w:b/>
          <w:color w:val="000000"/>
          <w:sz w:val="20"/>
          <w:szCs w:val="20"/>
        </w:rPr>
        <w:t>dostateczny</w:t>
      </w:r>
      <w:r>
        <w:rPr>
          <w:rFonts w:ascii="Calibri" w:hAnsi="Calibri"/>
          <w:color w:val="000000"/>
          <w:sz w:val="20"/>
          <w:szCs w:val="20"/>
        </w:rPr>
        <w:t>, gdy zawiera małe błędy, jest samodzielna, lecz niepełna, zgodna</w:t>
      </w:r>
      <w:r>
        <w:rPr>
          <w:rFonts w:ascii="Calibri" w:hAnsi="Calibri"/>
          <w:b/>
          <w:color w:val="000000"/>
          <w:sz w:val="20"/>
          <w:szCs w:val="20"/>
        </w:rPr>
        <w:t xml:space="preserve"> </w:t>
      </w:r>
      <w:r>
        <w:rPr>
          <w:rFonts w:ascii="Calibri" w:hAnsi="Calibri"/>
          <w:color w:val="000000"/>
          <w:sz w:val="20"/>
          <w:szCs w:val="20"/>
        </w:rPr>
        <w:t xml:space="preserve">z wymaganiami podstawowymi, uczeń opanował wiadomości podstawowe </w:t>
      </w:r>
    </w:p>
    <w:p>
      <w:pPr>
        <w:pStyle w:val="Normal"/>
        <w:tabs>
          <w:tab w:val="clear" w:pos="720"/>
          <w:tab w:val="left" w:pos="360" w:leader="none"/>
        </w:tabs>
        <w:ind w:hanging="540" w:left="360" w:right="0"/>
        <w:rPr>
          <w:rFonts w:ascii="Calibri" w:hAnsi="Calibri"/>
          <w:color w:val="000000"/>
          <w:sz w:val="20"/>
          <w:szCs w:val="20"/>
        </w:rPr>
      </w:pPr>
      <w:r>
        <w:rPr>
          <w:rFonts w:ascii="Calibri" w:hAnsi="Calibri"/>
          <w:color w:val="000000"/>
          <w:sz w:val="20"/>
          <w:szCs w:val="20"/>
        </w:rPr>
        <w:t xml:space="preserve">           </w:t>
      </w:r>
      <w:r>
        <w:rPr>
          <w:rFonts w:ascii="Calibri" w:hAnsi="Calibri"/>
          <w:color w:val="000000"/>
          <w:sz w:val="20"/>
          <w:szCs w:val="20"/>
        </w:rPr>
        <w:t>i z niewielką pomocą nauczyciela potrafi rozwiązywać podstawowe zależności, próbuje porównywać, wnioskować i zajmować określone stanowisko;</w:t>
      </w:r>
    </w:p>
    <w:p>
      <w:pPr>
        <w:pStyle w:val="Normal"/>
        <w:numPr>
          <w:ilvl w:val="0"/>
          <w:numId w:val="36"/>
        </w:numPr>
        <w:tabs>
          <w:tab w:val="clear" w:pos="720"/>
          <w:tab w:val="left" w:pos="360" w:leader="none"/>
        </w:tabs>
        <w:ind w:hanging="540" w:left="360" w:right="0"/>
        <w:rPr>
          <w:rFonts w:ascii="Calibri" w:hAnsi="Calibri"/>
          <w:color w:val="000000"/>
          <w:sz w:val="20"/>
          <w:szCs w:val="20"/>
        </w:rPr>
      </w:pPr>
      <w:r>
        <w:rPr>
          <w:rFonts w:ascii="Calibri" w:hAnsi="Calibri"/>
          <w:b/>
          <w:color w:val="000000"/>
          <w:sz w:val="20"/>
          <w:szCs w:val="20"/>
        </w:rPr>
        <w:t>dopuszczający</w:t>
      </w:r>
      <w:r>
        <w:rPr>
          <w:rFonts w:ascii="Calibri" w:hAnsi="Calibri"/>
          <w:color w:val="000000"/>
          <w:sz w:val="20"/>
          <w:szCs w:val="20"/>
        </w:rPr>
        <w:t>, gdy odpowiedź jest zgodna</w:t>
      </w:r>
      <w:r>
        <w:rPr>
          <w:rFonts w:ascii="Calibri" w:hAnsi="Calibri"/>
          <w:b/>
          <w:color w:val="000000"/>
          <w:sz w:val="20"/>
          <w:szCs w:val="20"/>
        </w:rPr>
        <w:t xml:space="preserve"> </w:t>
      </w:r>
      <w:r>
        <w:rPr>
          <w:rFonts w:ascii="Calibri" w:hAnsi="Calibri"/>
          <w:color w:val="000000"/>
          <w:sz w:val="20"/>
          <w:szCs w:val="20"/>
        </w:rPr>
        <w:t>z wymaganiami koniecznymi, obejmuje wiedzę i umiejętności proste, łatwe do opanowania i zapamiętania dla każdego ucznia, niezbędne do dalszej edukacji, często przydatne w życiu;</w:t>
      </w:r>
    </w:p>
    <w:p>
      <w:pPr>
        <w:pStyle w:val="Normal"/>
        <w:numPr>
          <w:ilvl w:val="0"/>
          <w:numId w:val="36"/>
        </w:numPr>
        <w:tabs>
          <w:tab w:val="clear" w:pos="720"/>
          <w:tab w:val="left" w:pos="360" w:leader="none"/>
        </w:tabs>
        <w:ind w:hanging="540" w:left="360" w:right="0"/>
        <w:rPr>
          <w:rFonts w:ascii="Calibri" w:hAnsi="Calibri"/>
          <w:color w:val="000000"/>
          <w:sz w:val="20"/>
          <w:szCs w:val="20"/>
        </w:rPr>
      </w:pPr>
      <w:r>
        <w:rPr>
          <w:rFonts w:ascii="Calibri" w:hAnsi="Calibri"/>
          <w:b/>
          <w:color w:val="000000"/>
          <w:sz w:val="20"/>
          <w:szCs w:val="20"/>
        </w:rPr>
        <w:t>niedostateczny</w:t>
      </w:r>
      <w:r>
        <w:rPr>
          <w:rFonts w:ascii="Calibri" w:hAnsi="Calibri"/>
          <w:color w:val="000000"/>
          <w:sz w:val="20"/>
          <w:szCs w:val="20"/>
        </w:rPr>
        <w:t>, gdy odpowiedź zawiera poważne błędy merytoryczne, jest niesamodzielna i pomija najważniejsze kwestie.</w:t>
        <w:br/>
      </w:r>
    </w:p>
    <w:p>
      <w:pPr>
        <w:pStyle w:val="Normal"/>
        <w:numPr>
          <w:ilvl w:val="0"/>
          <w:numId w:val="0"/>
        </w:numPr>
        <w:tabs>
          <w:tab w:val="clear" w:pos="720"/>
          <w:tab w:val="left" w:pos="360" w:leader="none"/>
        </w:tabs>
        <w:ind w:hanging="0" w:left="-180" w:right="0"/>
        <w:rPr>
          <w:rFonts w:ascii="Calibri" w:hAnsi="Calibri"/>
          <w:color w:val="000000"/>
          <w:sz w:val="20"/>
          <w:szCs w:val="20"/>
        </w:rPr>
      </w:pPr>
      <w:r>
        <w:rPr>
          <w:rFonts w:cs="Calibri" w:ascii="Calibri" w:hAnsi="Calibri" w:asciiTheme="minorHAnsi" w:cstheme="minorHAnsi" w:hAnsiTheme="minorHAnsi"/>
          <w:b/>
          <w:color w:val="000000"/>
          <w:sz w:val="20"/>
          <w:szCs w:val="20"/>
          <w:shd w:fill="FFFFFF" w:val="clear"/>
        </w:rPr>
        <w:t xml:space="preserve">   </w:t>
      </w:r>
      <w:r>
        <w:rPr>
          <w:rFonts w:cs="Calibri" w:ascii="Calibri" w:hAnsi="Calibri" w:asciiTheme="minorHAnsi" w:cstheme="minorHAnsi" w:hAnsiTheme="minorHAnsi"/>
          <w:b/>
          <w:color w:val="000000"/>
          <w:sz w:val="20"/>
          <w:szCs w:val="20"/>
          <w:shd w:fill="FFFFFF" w:val="clear"/>
        </w:rPr>
        <w:t xml:space="preserve">4.  </w:t>
      </w:r>
      <w:r>
        <w:rPr>
          <w:rFonts w:ascii="Calibri" w:hAnsi="Calibri"/>
          <w:b/>
          <w:bCs/>
          <w:color w:val="000000"/>
          <w:sz w:val="20"/>
          <w:szCs w:val="20"/>
        </w:rPr>
        <w:t>Szczegółowe wymagania edukacyjne na poszczególne stopnie dla uczniów klasy siódmej:</w:t>
      </w:r>
    </w:p>
    <w:p>
      <w:pPr>
        <w:pStyle w:val="Normal"/>
        <w:ind w:left="142" w:right="119"/>
        <w:rPr>
          <w:rFonts w:ascii="Calibri" w:hAnsi="Calibri" w:cs="Calibri" w:asciiTheme="minorHAnsi" w:cstheme="minorHAnsi" w:hAnsiTheme="minorHAnsi"/>
          <w:b/>
          <w:color w:val="000000"/>
          <w:sz w:val="20"/>
          <w:szCs w:val="20"/>
        </w:rPr>
      </w:pPr>
      <w:r>
        <w:rPr>
          <w:rFonts w:cs="Calibri" w:ascii="Calibri" w:hAnsi="Calibri" w:cstheme="minorHAnsi"/>
          <w:color w:val="000000"/>
          <w:sz w:val="20"/>
          <w:szCs w:val="20"/>
        </w:rPr>
        <w:br/>
      </w:r>
    </w:p>
    <w:tbl>
      <w:tblPr>
        <w:tblStyle w:val="TableNormal"/>
        <w:tblW w:w="14891" w:type="dxa"/>
        <w:jc w:val="left"/>
        <w:tblInd w:w="-296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 w:firstRow="1" w:noVBand="0" w:lastRow="1" w:firstColumn="1" w:lastColumn="1" w:noHBand="0"/>
      </w:tblPr>
      <w:tblGrid>
        <w:gridCol w:w="1767"/>
        <w:gridCol w:w="1784"/>
        <w:gridCol w:w="2262"/>
        <w:gridCol w:w="2271"/>
        <w:gridCol w:w="2269"/>
        <w:gridCol w:w="2270"/>
        <w:gridCol w:w="2268"/>
      </w:tblGrid>
      <w:tr>
        <w:trPr>
          <w:trHeight w:val="380" w:hRule="atLeast"/>
        </w:trPr>
        <w:tc>
          <w:tcPr>
            <w:tcW w:w="1767" w:type="dxa"/>
            <w:vMerge w:val="restart"/>
            <w:tcBorders>
              <w:top w:val="single" w:sz="4" w:space="0" w:color="BCBEC0"/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pacing w:before="2" w:after="0"/>
              <w:ind w:hanging="0" w:left="0"/>
              <w:contextualSpacing/>
              <w:jc w:val="left"/>
              <w:rPr>
                <w:rFonts w:ascii="Humanst521EU" w:hAnsi="Humanst521EU"/>
                <w:b/>
                <w:sz w:val="24"/>
              </w:rPr>
            </w:pPr>
            <w:r>
              <w:rPr>
                <w:rFonts w:ascii="Humanst521EU" w:hAnsi="Humanst521EU"/>
                <w:b/>
                <w:sz w:val="24"/>
              </w:rPr>
            </w:r>
          </w:p>
          <w:p>
            <w:pPr>
              <w:pStyle w:val="TableParagraph"/>
              <w:widowControl w:val="false"/>
              <w:spacing w:before="0" w:after="0"/>
              <w:ind w:hanging="0" w:left="109"/>
              <w:contextualSpacing/>
              <w:jc w:val="left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Dział</w:t>
            </w:r>
          </w:p>
        </w:tc>
        <w:tc>
          <w:tcPr>
            <w:tcW w:w="1784" w:type="dxa"/>
            <w:vMerge w:val="restart"/>
            <w:tcBorders>
              <w:top w:val="single" w:sz="4" w:space="0" w:color="BCBEC0"/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pacing w:before="2" w:after="0"/>
              <w:ind w:hanging="0" w:left="0"/>
              <w:contextualSpacing/>
              <w:jc w:val="left"/>
              <w:rPr>
                <w:rFonts w:ascii="Humanst521EU" w:hAnsi="Humanst521EU"/>
                <w:b/>
                <w:sz w:val="24"/>
              </w:rPr>
            </w:pPr>
            <w:r>
              <w:rPr>
                <w:rFonts w:ascii="Humanst521EU" w:hAnsi="Humanst521EU"/>
                <w:b/>
                <w:sz w:val="24"/>
              </w:rPr>
            </w:r>
          </w:p>
          <w:p>
            <w:pPr>
              <w:pStyle w:val="TableParagraph"/>
              <w:widowControl w:val="false"/>
              <w:spacing w:before="0" w:after="0"/>
              <w:ind w:hanging="0" w:left="613" w:right="613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Temat</w:t>
            </w:r>
          </w:p>
        </w:tc>
        <w:tc>
          <w:tcPr>
            <w:tcW w:w="11340" w:type="dxa"/>
            <w:gridSpan w:val="5"/>
            <w:tcBorders>
              <w:top w:val="single" w:sz="6" w:space="0" w:color="BCBEC0"/>
              <w:left w:val="single" w:sz="4" w:space="0" w:color="BCBEC0"/>
              <w:bottom w:val="single" w:sz="6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pacing w:before="89" w:after="0"/>
              <w:ind w:hanging="0" w:left="4975" w:right="4975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Poziom wymagań</w:t>
            </w:r>
          </w:p>
        </w:tc>
      </w:tr>
      <w:tr>
        <w:trPr>
          <w:trHeight w:val="380" w:hRule="atLeast"/>
        </w:trPr>
        <w:tc>
          <w:tcPr>
            <w:tcW w:w="1767" w:type="dxa"/>
            <w:vMerge w:val="continue"/>
            <w:tcBorders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contextualSpacing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784" w:type="dxa"/>
            <w:vMerge w:val="continue"/>
            <w:tcBorders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contextualSpacing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262" w:type="dxa"/>
            <w:tcBorders>
              <w:top w:val="single" w:sz="4" w:space="0" w:color="BCBEC0"/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pacing w:before="87" w:after="0"/>
              <w:ind w:hanging="0" w:left="334"/>
              <w:contextualSpacing/>
              <w:jc w:val="left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ocena dopuszczająca</w:t>
            </w:r>
          </w:p>
        </w:tc>
        <w:tc>
          <w:tcPr>
            <w:tcW w:w="2271" w:type="dxa"/>
            <w:tcBorders>
              <w:top w:val="single" w:sz="4" w:space="0" w:color="BCBEC0"/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pacing w:before="87" w:after="0"/>
              <w:ind w:hanging="0" w:left="418"/>
              <w:contextualSpacing/>
              <w:jc w:val="left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ocena dostateczna</w:t>
            </w:r>
          </w:p>
        </w:tc>
        <w:tc>
          <w:tcPr>
            <w:tcW w:w="2269" w:type="dxa"/>
            <w:tcBorders>
              <w:top w:val="single" w:sz="4" w:space="0" w:color="BCBEC0"/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pacing w:before="87" w:after="0"/>
              <w:ind w:hanging="0" w:left="656"/>
              <w:contextualSpacing/>
              <w:jc w:val="left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ocena dobra</w:t>
            </w:r>
          </w:p>
        </w:tc>
        <w:tc>
          <w:tcPr>
            <w:tcW w:w="2270" w:type="dxa"/>
            <w:tcBorders>
              <w:top w:val="single" w:sz="4" w:space="0" w:color="BCBEC0"/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pacing w:before="87" w:after="0"/>
              <w:ind w:hanging="0" w:left="365"/>
              <w:contextualSpacing/>
              <w:jc w:val="left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ocena bardzo dobra</w:t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pacing w:before="87" w:after="0"/>
              <w:ind w:hanging="0" w:left="576"/>
              <w:contextualSpacing/>
              <w:jc w:val="left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ocena celująca</w:t>
            </w:r>
          </w:p>
        </w:tc>
      </w:tr>
      <w:tr>
        <w:trPr>
          <w:trHeight w:val="3560" w:hRule="atLeast"/>
        </w:trPr>
        <w:tc>
          <w:tcPr>
            <w:tcW w:w="1767" w:type="dxa"/>
            <w:vMerge w:val="restart"/>
            <w:tcBorders>
              <w:top w:val="single" w:sz="8" w:space="0" w:color="FDB515"/>
              <w:left w:val="single" w:sz="6" w:space="0" w:color="BCBEC0"/>
              <w:bottom w:val="single" w:sz="4" w:space="0" w:color="BCBEC0"/>
              <w:right w:val="single" w:sz="6" w:space="0" w:color="BCBEC0"/>
            </w:tcBorders>
            <w:shd w:color="auto" w:fill="auto" w:val="clear"/>
            <w:textDirection w:val="btLr"/>
          </w:tcPr>
          <w:p>
            <w:pPr>
              <w:pStyle w:val="TableParagraph"/>
              <w:widowControl w:val="false"/>
              <w:spacing w:before="9" w:after="0"/>
              <w:ind w:hanging="0" w:left="0"/>
              <w:contextualSpacing/>
              <w:jc w:val="left"/>
              <w:rPr>
                <w:rFonts w:ascii="Humanst521EU" w:hAnsi="Humanst521EU"/>
                <w:b/>
                <w:sz w:val="15"/>
              </w:rPr>
            </w:pPr>
            <w:r>
              <w:rPr>
                <w:rFonts w:ascii="Humanst521EU" w:hAnsi="Humanst521EU"/>
                <w:b/>
                <w:sz w:val="15"/>
              </w:rPr>
            </w:r>
          </w:p>
          <w:p>
            <w:pPr>
              <w:pStyle w:val="TableParagraph"/>
              <w:widowControl w:val="false"/>
              <w:spacing w:before="1" w:after="0"/>
              <w:ind w:hanging="0" w:left="3171"/>
              <w:contextualSpacing/>
              <w:jc w:val="left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I. Organizm człowieka. Skóra – powłoka organizmu</w:t>
            </w:r>
          </w:p>
        </w:tc>
        <w:tc>
          <w:tcPr>
            <w:tcW w:w="1784" w:type="dxa"/>
            <w:tcBorders>
              <w:top w:val="single" w:sz="8" w:space="0" w:color="FDB515"/>
              <w:left w:val="single" w:sz="6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pacing w:before="52" w:after="0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1</w:t>
            </w:r>
            <w:r>
              <w:rPr>
                <w:b/>
                <w:kern w:val="0"/>
                <w:sz w:val="17"/>
                <w:szCs w:val="22"/>
                <w:lang w:eastAsia="en-US" w:bidi="ar-SA"/>
              </w:rPr>
              <w:t>. Organizm człowieka jako funkcjonalna całość</w:t>
            </w:r>
          </w:p>
        </w:tc>
        <w:tc>
          <w:tcPr>
            <w:tcW w:w="2262" w:type="dxa"/>
            <w:tcBorders>
              <w:top w:val="single" w:sz="8" w:space="0" w:color="FDB515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38"/>
              </w:numPr>
              <w:tabs>
                <w:tab w:val="clear" w:pos="720"/>
                <w:tab w:val="left" w:pos="222" w:leader="none"/>
              </w:tabs>
              <w:spacing w:lineRule="auto" w:line="235" w:before="61" w:after="0"/>
              <w:ind w:hanging="170" w:left="221" w:right="411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wskazuje komórkę jako podstawowy element budowy ciała człowieka</w:t>
            </w:r>
          </w:p>
          <w:p>
            <w:pPr>
              <w:pStyle w:val="TableParagraph"/>
              <w:widowControl w:val="false"/>
              <w:numPr>
                <w:ilvl w:val="0"/>
                <w:numId w:val="38"/>
              </w:numPr>
              <w:tabs>
                <w:tab w:val="clear" w:pos="720"/>
                <w:tab w:val="left" w:pos="222" w:leader="none"/>
              </w:tabs>
              <w:spacing w:lineRule="exact" w:line="202" w:before="0" w:after="0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wyjaśnia, czym jest tkanka</w:t>
            </w:r>
          </w:p>
          <w:p>
            <w:pPr>
              <w:pStyle w:val="TableParagraph"/>
              <w:widowControl w:val="false"/>
              <w:numPr>
                <w:ilvl w:val="0"/>
                <w:numId w:val="38"/>
              </w:numPr>
              <w:tabs>
                <w:tab w:val="clear" w:pos="720"/>
                <w:tab w:val="left" w:pos="222" w:leader="none"/>
              </w:tabs>
              <w:spacing w:lineRule="exact" w:line="202" w:before="0" w:after="0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wyjaśnia, czym jest narząd</w:t>
            </w:r>
          </w:p>
          <w:p>
            <w:pPr>
              <w:pStyle w:val="TableParagraph"/>
              <w:widowControl w:val="false"/>
              <w:numPr>
                <w:ilvl w:val="0"/>
                <w:numId w:val="38"/>
              </w:numPr>
              <w:tabs>
                <w:tab w:val="clear" w:pos="720"/>
                <w:tab w:val="left" w:pos="222" w:leader="none"/>
              </w:tabs>
              <w:spacing w:lineRule="auto" w:line="235" w:before="2" w:after="0"/>
              <w:ind w:hanging="170" w:left="221" w:right="176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wymienia układy narządów człowieka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222" w:leader="none"/>
              </w:tabs>
              <w:spacing w:lineRule="auto" w:line="235" w:before="2" w:after="0"/>
              <w:ind w:hanging="0" w:left="221" w:right="176"/>
              <w:contextualSpacing/>
              <w:jc w:val="left"/>
              <w:rPr>
                <w:sz w:val="17"/>
              </w:rPr>
            </w:pPr>
            <w:r>
              <w:rPr>
                <w:sz w:val="17"/>
              </w:rPr>
            </w:r>
          </w:p>
        </w:tc>
        <w:tc>
          <w:tcPr>
            <w:tcW w:w="2271" w:type="dxa"/>
            <w:tcBorders>
              <w:top w:val="single" w:sz="8" w:space="0" w:color="FDB515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38"/>
              </w:numPr>
              <w:tabs>
                <w:tab w:val="clear" w:pos="720"/>
                <w:tab w:val="left" w:pos="222" w:leader="none"/>
              </w:tabs>
              <w:spacing w:lineRule="auto" w:line="235" w:before="3" w:after="0"/>
              <w:ind w:hanging="170" w:left="221" w:right="126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wymienia rodzaje tkanek zwierzęcych</w:t>
            </w:r>
          </w:p>
          <w:p>
            <w:pPr>
              <w:pStyle w:val="TableParagraph"/>
              <w:widowControl w:val="false"/>
              <w:numPr>
                <w:ilvl w:val="0"/>
                <w:numId w:val="39"/>
              </w:numPr>
              <w:tabs>
                <w:tab w:val="clear" w:pos="720"/>
                <w:tab w:val="left" w:pos="222" w:leader="none"/>
              </w:tabs>
              <w:spacing w:lineRule="auto" w:line="235" w:before="61" w:after="0"/>
              <w:ind w:hanging="170" w:left="221" w:right="427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określa najważniejsze funkcje poszczególnych tkanek zwierzęcych</w:t>
            </w:r>
          </w:p>
          <w:p>
            <w:pPr>
              <w:pStyle w:val="TableParagraph"/>
              <w:widowControl w:val="false"/>
              <w:numPr>
                <w:ilvl w:val="0"/>
                <w:numId w:val="39"/>
              </w:numPr>
              <w:tabs>
                <w:tab w:val="clear" w:pos="720"/>
                <w:tab w:val="left" w:pos="222" w:leader="none"/>
              </w:tabs>
              <w:spacing w:lineRule="auto" w:line="235" w:before="0" w:after="0"/>
              <w:ind w:hanging="170" w:left="221" w:right="214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opisuje podstawowe funkcje poszczególnych układów narządów</w:t>
            </w:r>
          </w:p>
        </w:tc>
        <w:tc>
          <w:tcPr>
            <w:tcW w:w="2269" w:type="dxa"/>
            <w:tcBorders>
              <w:top w:val="single" w:sz="8" w:space="0" w:color="FDB515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39"/>
              </w:numPr>
              <w:tabs>
                <w:tab w:val="clear" w:pos="720"/>
                <w:tab w:val="left" w:pos="222" w:leader="none"/>
              </w:tabs>
              <w:spacing w:lineRule="auto" w:line="235" w:before="61" w:after="0"/>
              <w:ind w:hanging="170" w:left="221" w:right="420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charakteryzuje budowę poszczególnych tkanek zwierzęcych</w:t>
            </w:r>
          </w:p>
          <w:p>
            <w:pPr>
              <w:pStyle w:val="TableParagraph"/>
              <w:widowControl w:val="false"/>
              <w:numPr>
                <w:ilvl w:val="0"/>
                <w:numId w:val="39"/>
              </w:numPr>
              <w:tabs>
                <w:tab w:val="clear" w:pos="720"/>
                <w:tab w:val="left" w:pos="222" w:leader="none"/>
              </w:tabs>
              <w:spacing w:lineRule="auto" w:line="235" w:before="0" w:after="0"/>
              <w:ind w:hanging="170" w:left="221" w:right="390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wyjaśnia funkcje poszczególnych układów narządów</w:t>
            </w:r>
          </w:p>
          <w:p>
            <w:pPr>
              <w:pStyle w:val="TableParagraph"/>
              <w:widowControl w:val="false"/>
              <w:numPr>
                <w:ilvl w:val="0"/>
                <w:numId w:val="39"/>
              </w:numPr>
              <w:tabs>
                <w:tab w:val="clear" w:pos="720"/>
                <w:tab w:val="left" w:pos="222" w:leader="none"/>
              </w:tabs>
              <w:spacing w:lineRule="auto" w:line="235" w:before="0" w:after="0"/>
              <w:ind w:hanging="170" w:left="221" w:right="214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wskazuje rozmieszczenie przykładowych tkanek zwierzęcych w organizmie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222" w:leader="none"/>
              </w:tabs>
              <w:spacing w:lineRule="auto" w:line="235" w:before="0" w:after="0"/>
              <w:ind w:hanging="0" w:left="221" w:right="390"/>
              <w:contextualSpacing/>
              <w:jc w:val="left"/>
              <w:rPr>
                <w:sz w:val="17"/>
              </w:rPr>
            </w:pPr>
            <w:r>
              <w:rPr>
                <w:sz w:val="17"/>
              </w:rPr>
            </w:r>
          </w:p>
        </w:tc>
        <w:tc>
          <w:tcPr>
            <w:tcW w:w="2270" w:type="dxa"/>
            <w:tcBorders>
              <w:top w:val="single" w:sz="8" w:space="0" w:color="FDB515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39"/>
              </w:numPr>
              <w:tabs>
                <w:tab w:val="clear" w:pos="720"/>
                <w:tab w:val="left" w:pos="222" w:leader="none"/>
              </w:tabs>
              <w:spacing w:lineRule="auto" w:line="235" w:before="0" w:after="0"/>
              <w:ind w:hanging="170" w:left="221" w:right="293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przyporządkowuje tkanki narządom i układom narządów</w:t>
            </w:r>
          </w:p>
          <w:p>
            <w:pPr>
              <w:pStyle w:val="TableParagraph"/>
              <w:widowControl w:val="false"/>
              <w:numPr>
                <w:ilvl w:val="0"/>
                <w:numId w:val="39"/>
              </w:numPr>
              <w:tabs>
                <w:tab w:val="clear" w:pos="720"/>
                <w:tab w:val="left" w:pos="222" w:leader="none"/>
              </w:tabs>
              <w:spacing w:lineRule="auto" w:line="235" w:before="0" w:after="0"/>
              <w:ind w:hanging="170" w:left="221" w:right="293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analizuje hierarchiczną budowę organizmu człowieka</w:t>
            </w:r>
          </w:p>
          <w:p>
            <w:pPr>
              <w:pStyle w:val="TableParagraph"/>
              <w:widowControl w:val="false"/>
              <w:numPr>
                <w:ilvl w:val="0"/>
                <w:numId w:val="39"/>
              </w:numPr>
              <w:tabs>
                <w:tab w:val="clear" w:pos="720"/>
                <w:tab w:val="left" w:pos="222" w:leader="none"/>
              </w:tabs>
              <w:spacing w:lineRule="auto" w:line="235" w:before="0" w:after="0"/>
              <w:ind w:hanging="170" w:left="221" w:right="963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rozpoznaje pod mikroskopem lub na ilustracji rodzaje tkanek zwierzęcych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222" w:leader="none"/>
              </w:tabs>
              <w:spacing w:lineRule="auto" w:line="235" w:before="0" w:after="0"/>
              <w:ind w:hanging="0" w:left="221" w:right="293"/>
              <w:contextualSpacing/>
              <w:jc w:val="left"/>
              <w:rPr>
                <w:sz w:val="17"/>
              </w:rPr>
            </w:pPr>
            <w:r>
              <w:rPr>
                <w:sz w:val="17"/>
              </w:rPr>
            </w:r>
          </w:p>
        </w:tc>
        <w:tc>
          <w:tcPr>
            <w:tcW w:w="2268" w:type="dxa"/>
            <w:tcBorders>
              <w:top w:val="single" w:sz="8" w:space="0" w:color="FDB515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39"/>
              </w:numPr>
              <w:tabs>
                <w:tab w:val="clear" w:pos="720"/>
                <w:tab w:val="left" w:pos="222" w:leader="none"/>
              </w:tabs>
              <w:spacing w:lineRule="auto" w:line="235" w:before="61" w:after="0"/>
              <w:ind w:hanging="170" w:left="221" w:right="322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analizuje związek między budową a funkcją poszczególnych tkanek zwierzęcych</w:t>
            </w:r>
          </w:p>
          <w:p>
            <w:pPr>
              <w:pStyle w:val="TableParagraph"/>
              <w:widowControl w:val="false"/>
              <w:numPr>
                <w:ilvl w:val="0"/>
                <w:numId w:val="39"/>
              </w:numPr>
              <w:tabs>
                <w:tab w:val="clear" w:pos="720"/>
                <w:tab w:val="left" w:pos="222" w:leader="none"/>
              </w:tabs>
              <w:spacing w:lineRule="auto" w:line="235" w:before="0" w:after="0"/>
              <w:ind w:hanging="170" w:left="221" w:right="162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wykazuje zależność między poszczególnymi układami narządów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222" w:leader="none"/>
              </w:tabs>
              <w:spacing w:lineRule="auto" w:line="235" w:before="0" w:after="0"/>
              <w:ind w:hanging="0" w:left="221" w:right="162"/>
              <w:contextualSpacing/>
              <w:jc w:val="left"/>
              <w:rPr>
                <w:sz w:val="17"/>
              </w:rPr>
            </w:pPr>
            <w:r>
              <w:rPr>
                <w:sz w:val="17"/>
              </w:rPr>
            </w:r>
          </w:p>
        </w:tc>
      </w:tr>
      <w:tr>
        <w:trPr>
          <w:trHeight w:val="2029" w:hRule="atLeast"/>
        </w:trPr>
        <w:tc>
          <w:tcPr>
            <w:tcW w:w="1767" w:type="dxa"/>
            <w:vMerge w:val="continue"/>
            <w:tcBorders>
              <w:left w:val="single" w:sz="6" w:space="0" w:color="BCBEC0"/>
              <w:bottom w:val="single" w:sz="4" w:space="0" w:color="BCBEC0"/>
              <w:right w:val="single" w:sz="6" w:space="0" w:color="BCBEC0"/>
            </w:tcBorders>
            <w:shd w:color="auto" w:fill="auto" w:val="clear"/>
            <w:textDirection w:val="btLr"/>
          </w:tcPr>
          <w:p>
            <w:pPr>
              <w:pStyle w:val="Normal"/>
              <w:widowControl w:val="false"/>
              <w:spacing w:before="0" w:after="0"/>
              <w:contextualSpacing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784" w:type="dxa"/>
            <w:tcBorders>
              <w:top w:val="single" w:sz="4" w:space="0" w:color="BCBEC0"/>
              <w:left w:val="single" w:sz="6" w:space="0" w:color="BCBEC0"/>
              <w:bottom w:val="single" w:sz="6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pacing w:lineRule="auto" w:line="235" w:before="61" w:after="0"/>
              <w:ind w:hanging="172" w:left="220"/>
              <w:contextualSpacing/>
              <w:jc w:val="left"/>
              <w:rPr>
                <w:b/>
                <w:sz w:val="17"/>
              </w:rPr>
            </w:pPr>
            <w:r>
              <w:rPr>
                <w:b/>
                <w:kern w:val="0"/>
                <w:sz w:val="17"/>
                <w:szCs w:val="22"/>
                <w:lang w:eastAsia="en-US" w:bidi="ar-SA"/>
              </w:rPr>
              <w:t>2. Budowa i funkcje skóry</w:t>
            </w:r>
          </w:p>
        </w:tc>
        <w:tc>
          <w:tcPr>
            <w:tcW w:w="2262" w:type="dxa"/>
            <w:tcBorders>
              <w:top w:val="single" w:sz="4" w:space="0" w:color="BCBEC0"/>
              <w:left w:val="single" w:sz="4" w:space="0" w:color="BCBEC0"/>
              <w:bottom w:val="single" w:sz="6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40"/>
              </w:numPr>
              <w:tabs>
                <w:tab w:val="clear" w:pos="720"/>
                <w:tab w:val="left" w:pos="222" w:leader="none"/>
              </w:tabs>
              <w:spacing w:lineRule="exact" w:line="206" w:before="57" w:after="0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wymienia warstwy skóry</w:t>
            </w:r>
          </w:p>
          <w:p>
            <w:pPr>
              <w:pStyle w:val="TableParagraph"/>
              <w:widowControl w:val="false"/>
              <w:numPr>
                <w:ilvl w:val="0"/>
                <w:numId w:val="40"/>
              </w:numPr>
              <w:tabs>
                <w:tab w:val="clear" w:pos="720"/>
                <w:tab w:val="left" w:pos="222" w:leader="none"/>
              </w:tabs>
              <w:spacing w:lineRule="auto" w:line="235" w:before="2" w:after="0"/>
              <w:ind w:hanging="170" w:left="221" w:right="279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przedstawia podstawowe funkcje skóry</w:t>
            </w:r>
          </w:p>
          <w:p>
            <w:pPr>
              <w:pStyle w:val="TableParagraph"/>
              <w:widowControl w:val="false"/>
              <w:numPr>
                <w:ilvl w:val="0"/>
                <w:numId w:val="40"/>
              </w:numPr>
              <w:tabs>
                <w:tab w:val="clear" w:pos="720"/>
                <w:tab w:val="left" w:pos="222" w:leader="none"/>
              </w:tabs>
              <w:spacing w:lineRule="exact" w:line="202" w:before="0" w:after="0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wymienia wytwory naskórka</w:t>
            </w:r>
          </w:p>
          <w:p>
            <w:pPr>
              <w:pStyle w:val="TableParagraph"/>
              <w:widowControl w:val="false"/>
              <w:numPr>
                <w:ilvl w:val="0"/>
                <w:numId w:val="40"/>
              </w:numPr>
              <w:tabs>
                <w:tab w:val="clear" w:pos="720"/>
                <w:tab w:val="left" w:pos="222" w:leader="none"/>
              </w:tabs>
              <w:spacing w:lineRule="exact" w:line="202" w:before="0" w:after="0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z pomocą nauczyciela omawia wykonane doświadczenie, wykazujące, że skóra jest narządem zmysłu</w:t>
            </w:r>
          </w:p>
        </w:tc>
        <w:tc>
          <w:tcPr>
            <w:tcW w:w="2271" w:type="dxa"/>
            <w:tcBorders>
              <w:top w:val="single" w:sz="4" w:space="0" w:color="BCBEC0"/>
              <w:left w:val="single" w:sz="4" w:space="0" w:color="BCBEC0"/>
              <w:bottom w:val="single" w:sz="6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40"/>
              </w:numPr>
              <w:tabs>
                <w:tab w:val="clear" w:pos="720"/>
                <w:tab w:val="left" w:pos="222" w:leader="none"/>
              </w:tabs>
              <w:spacing w:lineRule="auto" w:line="235" w:before="61" w:after="0"/>
              <w:ind w:hanging="170" w:left="221" w:right="545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omawia funkcje skóry i warstwy podskórnej</w:t>
            </w:r>
          </w:p>
          <w:p>
            <w:pPr>
              <w:pStyle w:val="TableParagraph"/>
              <w:widowControl w:val="false"/>
              <w:numPr>
                <w:ilvl w:val="0"/>
                <w:numId w:val="40"/>
              </w:numPr>
              <w:tabs>
                <w:tab w:val="clear" w:pos="720"/>
                <w:tab w:val="left" w:pos="222" w:leader="none"/>
              </w:tabs>
              <w:spacing w:lineRule="auto" w:line="235" w:before="0" w:after="0"/>
              <w:ind w:hanging="170" w:left="221" w:right="444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rozpoznaje warstwy skóry na ilustracji lub schemacie</w:t>
            </w:r>
          </w:p>
          <w:p>
            <w:pPr>
              <w:pStyle w:val="TableParagraph"/>
              <w:widowControl w:val="false"/>
              <w:numPr>
                <w:ilvl w:val="0"/>
                <w:numId w:val="40"/>
              </w:numPr>
              <w:tabs>
                <w:tab w:val="clear" w:pos="720"/>
                <w:tab w:val="left" w:pos="222" w:leader="none"/>
              </w:tabs>
              <w:spacing w:lineRule="auto" w:line="235" w:before="0" w:after="0"/>
              <w:ind w:hanging="170" w:left="221" w:right="245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samodzielnie omawia wykonane doświadczenie, wykazujące, że skóra jest narządem zmysłu</w:t>
            </w:r>
          </w:p>
        </w:tc>
        <w:tc>
          <w:tcPr>
            <w:tcW w:w="2269" w:type="dxa"/>
            <w:tcBorders>
              <w:top w:val="single" w:sz="4" w:space="0" w:color="BCBEC0"/>
              <w:left w:val="single" w:sz="4" w:space="0" w:color="BCBEC0"/>
              <w:bottom w:val="single" w:sz="6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40"/>
              </w:numPr>
              <w:tabs>
                <w:tab w:val="clear" w:pos="720"/>
                <w:tab w:val="left" w:pos="222" w:leader="none"/>
              </w:tabs>
              <w:spacing w:lineRule="auto" w:line="235" w:before="61" w:after="0"/>
              <w:ind w:hanging="170" w:left="221" w:right="84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wykazuje na konkretnych przykładach związek między budową a funkcjami skóry</w:t>
            </w:r>
          </w:p>
          <w:p>
            <w:pPr>
              <w:pStyle w:val="TableParagraph"/>
              <w:widowControl w:val="false"/>
              <w:numPr>
                <w:ilvl w:val="0"/>
                <w:numId w:val="40"/>
              </w:numPr>
              <w:tabs>
                <w:tab w:val="clear" w:pos="720"/>
                <w:tab w:val="left" w:pos="221" w:leader="none"/>
              </w:tabs>
              <w:spacing w:lineRule="auto" w:line="235" w:before="0" w:after="0"/>
              <w:ind w:hanging="170" w:left="221" w:right="88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z pomocą nauczyciela wykonuje doświadczenie wykazujące, że skóra jest narządem zmysłu</w:t>
            </w:r>
          </w:p>
        </w:tc>
        <w:tc>
          <w:tcPr>
            <w:tcW w:w="2270" w:type="dxa"/>
            <w:tcBorders>
              <w:top w:val="single" w:sz="4" w:space="0" w:color="BCBEC0"/>
              <w:left w:val="single" w:sz="4" w:space="0" w:color="BCBEC0"/>
              <w:bottom w:val="single" w:sz="6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41"/>
              </w:numPr>
              <w:tabs>
                <w:tab w:val="clear" w:pos="720"/>
                <w:tab w:val="left" w:pos="221" w:leader="none"/>
              </w:tabs>
              <w:spacing w:lineRule="auto" w:line="235" w:before="61" w:after="0"/>
              <w:ind w:hanging="170" w:left="220" w:right="282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na podstawie opisu wykonuje doświadczenie wykazujące, że skóra jest narządem zmysłu</w:t>
            </w:r>
          </w:p>
          <w:p>
            <w:pPr>
              <w:pStyle w:val="TableParagraph"/>
              <w:widowControl w:val="false"/>
              <w:numPr>
                <w:ilvl w:val="0"/>
                <w:numId w:val="40"/>
              </w:numPr>
              <w:tabs>
                <w:tab w:val="clear" w:pos="720"/>
                <w:tab w:val="left" w:pos="222" w:leader="none"/>
              </w:tabs>
              <w:spacing w:lineRule="auto" w:line="235" w:before="0" w:after="0"/>
              <w:ind w:hanging="170" w:left="221" w:right="160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opisuje funkcje poszczególnych wytworów naskórka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221" w:leader="none"/>
              </w:tabs>
              <w:spacing w:lineRule="auto" w:line="235" w:before="61" w:after="0"/>
              <w:ind w:hanging="0" w:left="220" w:right="282"/>
              <w:contextualSpacing/>
              <w:jc w:val="left"/>
              <w:rPr>
                <w:sz w:val="17"/>
              </w:rPr>
            </w:pPr>
            <w:r>
              <w:rPr>
                <w:sz w:val="17"/>
              </w:rPr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6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42"/>
              </w:numPr>
              <w:tabs>
                <w:tab w:val="clear" w:pos="720"/>
                <w:tab w:val="left" w:pos="221" w:leader="none"/>
              </w:tabs>
              <w:spacing w:lineRule="auto" w:line="235" w:before="1" w:after="0"/>
              <w:ind w:hanging="170" w:left="220" w:right="136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wyszukuje odpowiednie informacje i planuje doświadczenie wykazujące, że skóra jest narządem zmysłu</w:t>
            </w:r>
          </w:p>
        </w:tc>
      </w:tr>
    </w:tbl>
    <w:p>
      <w:pPr>
        <w:sectPr>
          <w:footerReference w:type="even" r:id="rId2"/>
          <w:footerReference w:type="default" r:id="rId3"/>
          <w:footerReference w:type="first" r:id="rId4"/>
          <w:type w:val="nextPage"/>
          <w:pgSz w:orient="landscape" w:w="15600" w:h="11630"/>
          <w:pgMar w:left="720" w:right="720" w:gutter="0" w:header="0" w:top="720" w:footer="708" w:bottom="765"/>
          <w:pgNumType w:fmt="decimal"/>
          <w:formProt w:val="false"/>
          <w:textDirection w:val="lrTb"/>
          <w:docGrid w:type="default" w:linePitch="100" w:charSpace="0"/>
        </w:sectPr>
      </w:pPr>
    </w:p>
    <w:tbl>
      <w:tblPr>
        <w:tblStyle w:val="TableNormal"/>
        <w:tblW w:w="13749" w:type="dxa"/>
        <w:jc w:val="left"/>
        <w:tblInd w:w="110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 w:firstRow="1" w:noVBand="0" w:lastRow="1" w:firstColumn="1" w:lastColumn="1" w:noHBand="0"/>
      </w:tblPr>
      <w:tblGrid>
        <w:gridCol w:w="624"/>
        <w:gridCol w:w="1878"/>
        <w:gridCol w:w="2171"/>
        <w:gridCol w:w="2267"/>
        <w:gridCol w:w="2269"/>
        <w:gridCol w:w="2268"/>
        <w:gridCol w:w="2272"/>
      </w:tblGrid>
      <w:tr>
        <w:trPr>
          <w:trHeight w:val="400" w:hRule="atLeast"/>
        </w:trPr>
        <w:tc>
          <w:tcPr>
            <w:tcW w:w="624" w:type="dxa"/>
            <w:vMerge w:val="restart"/>
            <w:tcBorders>
              <w:top w:val="single" w:sz="4" w:space="0" w:color="BCBEC0"/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pacing w:before="0" w:after="0"/>
              <w:ind w:hanging="0" w:left="109"/>
              <w:contextualSpacing/>
              <w:jc w:val="left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sz w:val="17"/>
              </w:rPr>
            </w:r>
          </w:p>
        </w:tc>
        <w:tc>
          <w:tcPr>
            <w:tcW w:w="1878" w:type="dxa"/>
            <w:vMerge w:val="restart"/>
            <w:tcBorders>
              <w:top w:val="single" w:sz="4" w:space="0" w:color="BCBEC0"/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pacing w:before="5" w:after="0"/>
              <w:ind w:hanging="0" w:left="0"/>
              <w:contextualSpacing/>
              <w:jc w:val="left"/>
              <w:rPr>
                <w:rFonts w:ascii="Humanst521EU" w:hAnsi="Humanst521EU"/>
                <w:b/>
                <w:sz w:val="24"/>
              </w:rPr>
            </w:pPr>
            <w:r>
              <w:rPr>
                <w:rFonts w:ascii="Humanst521EU" w:hAnsi="Humanst521EU"/>
                <w:b/>
                <w:sz w:val="24"/>
              </w:rPr>
            </w:r>
          </w:p>
          <w:p>
            <w:pPr>
              <w:pStyle w:val="TableParagraph"/>
              <w:widowControl w:val="false"/>
              <w:spacing w:before="0" w:after="0"/>
              <w:ind w:hanging="0" w:left="613" w:right="613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Temat</w:t>
            </w:r>
          </w:p>
        </w:tc>
        <w:tc>
          <w:tcPr>
            <w:tcW w:w="11247" w:type="dxa"/>
            <w:gridSpan w:val="5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pacing w:before="92" w:after="0"/>
              <w:ind w:hanging="0" w:left="4975" w:right="4975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Poziom wymagań</w:t>
            </w:r>
          </w:p>
        </w:tc>
      </w:tr>
      <w:tr>
        <w:trPr>
          <w:trHeight w:val="380" w:hRule="atLeast"/>
        </w:trPr>
        <w:tc>
          <w:tcPr>
            <w:tcW w:w="624" w:type="dxa"/>
            <w:vMerge w:val="continue"/>
            <w:tcBorders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contextualSpacing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878" w:type="dxa"/>
            <w:vMerge w:val="continue"/>
            <w:tcBorders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contextualSpacing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171" w:type="dxa"/>
            <w:tcBorders>
              <w:top w:val="single" w:sz="4" w:space="0" w:color="BCBEC0"/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pacing w:before="87" w:after="0"/>
              <w:ind w:hanging="0" w:left="334"/>
              <w:contextualSpacing/>
              <w:jc w:val="left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ocena dopuszczająca</w:t>
            </w:r>
          </w:p>
        </w:tc>
        <w:tc>
          <w:tcPr>
            <w:tcW w:w="2267" w:type="dxa"/>
            <w:tcBorders>
              <w:top w:val="single" w:sz="4" w:space="0" w:color="BCBEC0"/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pacing w:before="87" w:after="0"/>
              <w:ind w:hanging="0" w:left="418"/>
              <w:contextualSpacing/>
              <w:jc w:val="left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ocena dostateczna</w:t>
            </w:r>
          </w:p>
        </w:tc>
        <w:tc>
          <w:tcPr>
            <w:tcW w:w="2269" w:type="dxa"/>
            <w:tcBorders>
              <w:top w:val="single" w:sz="4" w:space="0" w:color="BCBEC0"/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pacing w:before="87" w:after="0"/>
              <w:ind w:hanging="0" w:left="656"/>
              <w:contextualSpacing/>
              <w:jc w:val="left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ocena dobra</w:t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pacing w:before="87" w:after="0"/>
              <w:ind w:hanging="0" w:left="365"/>
              <w:contextualSpacing/>
              <w:jc w:val="left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ocena bardzo dobra</w:t>
            </w:r>
          </w:p>
        </w:tc>
        <w:tc>
          <w:tcPr>
            <w:tcW w:w="2272" w:type="dxa"/>
            <w:tcBorders>
              <w:top w:val="single" w:sz="4" w:space="0" w:color="BCBEC0"/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pacing w:before="87" w:after="0"/>
              <w:ind w:hanging="0" w:left="576"/>
              <w:contextualSpacing/>
              <w:jc w:val="left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ocena celująca</w:t>
            </w:r>
          </w:p>
        </w:tc>
      </w:tr>
      <w:tr>
        <w:trPr>
          <w:trHeight w:val="3260" w:hRule="atLeast"/>
        </w:trPr>
        <w:tc>
          <w:tcPr>
            <w:tcW w:w="624" w:type="dxa"/>
            <w:tcBorders>
              <w:top w:val="single" w:sz="8" w:space="0" w:color="FDB515"/>
              <w:left w:val="single" w:sz="6" w:space="0" w:color="BCBEC0"/>
              <w:bottom w:val="single" w:sz="4" w:space="0" w:color="BCBEC0"/>
              <w:right w:val="single" w:sz="6" w:space="0" w:color="BCBEC0"/>
            </w:tcBorders>
            <w:shd w:color="auto" w:fill="auto" w:val="clear"/>
            <w:textDirection w:val="btLr"/>
          </w:tcPr>
          <w:p>
            <w:pPr>
              <w:pStyle w:val="TableParagraph"/>
              <w:widowControl w:val="false"/>
              <w:spacing w:before="9" w:after="0"/>
              <w:ind w:hanging="0" w:left="0"/>
              <w:contextualSpacing/>
              <w:jc w:val="left"/>
              <w:rPr>
                <w:rFonts w:ascii="Humanst521EU" w:hAnsi="Humanst521EU"/>
                <w:b/>
                <w:sz w:val="15"/>
              </w:rPr>
            </w:pPr>
            <w:r>
              <w:rPr>
                <w:rFonts w:ascii="Humanst521EU" w:hAnsi="Humanst521EU"/>
                <w:b/>
                <w:sz w:val="15"/>
              </w:rPr>
            </w:r>
          </w:p>
          <w:p>
            <w:pPr>
              <w:pStyle w:val="TableParagraph"/>
              <w:widowControl w:val="false"/>
              <w:spacing w:before="1" w:after="0"/>
              <w:ind w:hanging="0" w:left="817"/>
              <w:contextualSpacing/>
              <w:jc w:val="left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I. Organizm człowieka. Skóra – powłoka ciała.</w:t>
            </w:r>
          </w:p>
        </w:tc>
        <w:tc>
          <w:tcPr>
            <w:tcW w:w="1878" w:type="dxa"/>
            <w:tcBorders>
              <w:top w:val="single" w:sz="8" w:space="0" w:color="FDB515"/>
              <w:left w:val="single" w:sz="6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pacing w:lineRule="auto" w:line="235" w:before="61" w:after="0"/>
              <w:ind w:hanging="172" w:left="220"/>
              <w:contextualSpacing/>
              <w:jc w:val="left"/>
              <w:rPr>
                <w:b/>
                <w:sz w:val="17"/>
              </w:rPr>
            </w:pPr>
            <w:r>
              <w:rPr>
                <w:b/>
                <w:kern w:val="0"/>
                <w:sz w:val="17"/>
                <w:szCs w:val="22"/>
                <w:lang w:eastAsia="en-US" w:bidi="ar-SA"/>
              </w:rPr>
              <w:t>3. Higiena i choroby skóry</w:t>
            </w:r>
          </w:p>
        </w:tc>
        <w:tc>
          <w:tcPr>
            <w:tcW w:w="2171" w:type="dxa"/>
            <w:tcBorders>
              <w:top w:val="single" w:sz="8" w:space="0" w:color="FDB515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38"/>
              </w:numPr>
              <w:tabs>
                <w:tab w:val="clear" w:pos="720"/>
                <w:tab w:val="left" w:pos="222" w:leader="none"/>
              </w:tabs>
              <w:spacing w:lineRule="exact" w:line="206" w:before="57" w:after="0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wymienia choroby skóry</w:t>
            </w:r>
          </w:p>
          <w:p>
            <w:pPr>
              <w:pStyle w:val="TableParagraph"/>
              <w:widowControl w:val="false"/>
              <w:numPr>
                <w:ilvl w:val="0"/>
                <w:numId w:val="38"/>
              </w:numPr>
              <w:tabs>
                <w:tab w:val="clear" w:pos="720"/>
                <w:tab w:val="left" w:pos="222" w:leader="none"/>
              </w:tabs>
              <w:spacing w:lineRule="auto" w:line="235" w:before="2" w:after="0"/>
              <w:ind w:hanging="170" w:left="221" w:right="777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podaje przykłady dolegliwości skóry</w:t>
            </w:r>
          </w:p>
          <w:p>
            <w:pPr>
              <w:pStyle w:val="TableParagraph"/>
              <w:widowControl w:val="false"/>
              <w:numPr>
                <w:ilvl w:val="0"/>
                <w:numId w:val="38"/>
              </w:numPr>
              <w:tabs>
                <w:tab w:val="clear" w:pos="720"/>
                <w:tab w:val="left" w:pos="222" w:leader="none"/>
              </w:tabs>
              <w:spacing w:lineRule="auto" w:line="235" w:before="0" w:after="0"/>
              <w:ind w:hanging="170" w:left="221" w:right="374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omawia zasady pielęgnacji skóry młodzieńczej</w:t>
            </w:r>
          </w:p>
        </w:tc>
        <w:tc>
          <w:tcPr>
            <w:tcW w:w="2267" w:type="dxa"/>
            <w:tcBorders>
              <w:top w:val="single" w:sz="8" w:space="0" w:color="FDB515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38"/>
              </w:numPr>
              <w:tabs>
                <w:tab w:val="clear" w:pos="720"/>
                <w:tab w:val="left" w:pos="222" w:leader="none"/>
              </w:tabs>
              <w:spacing w:lineRule="auto" w:line="235" w:before="2" w:after="0"/>
              <w:ind w:hanging="170" w:left="221" w:right="269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wskazuje konieczność dbania o dobry stan skóry</w:t>
            </w:r>
          </w:p>
          <w:p>
            <w:pPr>
              <w:pStyle w:val="TableParagraph"/>
              <w:widowControl w:val="false"/>
              <w:numPr>
                <w:ilvl w:val="0"/>
                <w:numId w:val="38"/>
              </w:numPr>
              <w:tabs>
                <w:tab w:val="clear" w:pos="720"/>
                <w:tab w:val="left" w:pos="222" w:leader="none"/>
              </w:tabs>
              <w:spacing w:lineRule="auto" w:line="235" w:before="0" w:after="0"/>
              <w:ind w:hanging="170" w:left="221" w:right="121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wymienia przyczyny grzybic skóry</w:t>
            </w:r>
          </w:p>
          <w:p>
            <w:pPr>
              <w:pStyle w:val="TableParagraph"/>
              <w:widowControl w:val="false"/>
              <w:numPr>
                <w:ilvl w:val="0"/>
                <w:numId w:val="38"/>
              </w:numPr>
              <w:tabs>
                <w:tab w:val="clear" w:pos="720"/>
                <w:tab w:val="left" w:pos="222" w:leader="none"/>
              </w:tabs>
              <w:spacing w:lineRule="auto" w:line="235" w:before="0" w:after="0"/>
              <w:ind w:hanging="170" w:left="221" w:right="399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wskazuje metody zapobiegania grzybicom skóry</w:t>
            </w:r>
          </w:p>
          <w:p>
            <w:pPr>
              <w:pStyle w:val="TableParagraph"/>
              <w:widowControl w:val="false"/>
              <w:numPr>
                <w:ilvl w:val="0"/>
                <w:numId w:val="38"/>
              </w:numPr>
              <w:tabs>
                <w:tab w:val="clear" w:pos="720"/>
                <w:tab w:val="left" w:pos="222" w:leader="none"/>
              </w:tabs>
              <w:spacing w:lineRule="auto" w:line="235" w:before="0" w:after="0"/>
              <w:ind w:hanging="170" w:left="221" w:right="293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omawia zasady udzielania pierwszej pomocy w przypadku oparzeń i odmrożeń skóry</w:t>
            </w:r>
          </w:p>
        </w:tc>
        <w:tc>
          <w:tcPr>
            <w:tcW w:w="2269" w:type="dxa"/>
            <w:tcBorders>
              <w:top w:val="single" w:sz="8" w:space="0" w:color="FDB515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38"/>
              </w:numPr>
              <w:tabs>
                <w:tab w:val="clear" w:pos="720"/>
                <w:tab w:val="left" w:pos="221" w:leader="none"/>
              </w:tabs>
              <w:spacing w:lineRule="auto" w:line="235" w:before="61" w:after="0"/>
              <w:ind w:hanging="170" w:left="221" w:right="83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omawia objawy dolegliwości skóry</w:t>
            </w:r>
          </w:p>
          <w:p>
            <w:pPr>
              <w:pStyle w:val="TableParagraph"/>
              <w:widowControl w:val="false"/>
              <w:numPr>
                <w:ilvl w:val="0"/>
                <w:numId w:val="38"/>
              </w:numPr>
              <w:tabs>
                <w:tab w:val="clear" w:pos="720"/>
                <w:tab w:val="left" w:pos="221" w:leader="none"/>
              </w:tabs>
              <w:spacing w:lineRule="auto" w:line="235" w:before="0" w:after="0"/>
              <w:ind w:hanging="170" w:left="221" w:right="94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wyjaśnia zależność między ekspozycją skóry na silne nasłonecznienie a rozwojem czerniaka</w:t>
            </w:r>
          </w:p>
          <w:p>
            <w:pPr>
              <w:pStyle w:val="TableParagraph"/>
              <w:widowControl w:val="false"/>
              <w:numPr>
                <w:ilvl w:val="0"/>
                <w:numId w:val="38"/>
              </w:numPr>
              <w:tabs>
                <w:tab w:val="clear" w:pos="720"/>
                <w:tab w:val="left" w:pos="222" w:leader="none"/>
              </w:tabs>
              <w:spacing w:lineRule="auto" w:line="235" w:before="0" w:after="0"/>
              <w:ind w:hanging="170" w:left="221" w:right="497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uzasadnia konieczność konsultacji lekarskiej w przypadku pojawienia się zmian na skórze</w:t>
            </w:r>
          </w:p>
        </w:tc>
        <w:tc>
          <w:tcPr>
            <w:tcW w:w="2268" w:type="dxa"/>
            <w:tcBorders>
              <w:top w:val="single" w:sz="8" w:space="0" w:color="FDB515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38"/>
              </w:numPr>
              <w:tabs>
                <w:tab w:val="clear" w:pos="720"/>
                <w:tab w:val="left" w:pos="221" w:leader="none"/>
              </w:tabs>
              <w:spacing w:lineRule="auto" w:line="235" w:before="61" w:after="0"/>
              <w:ind w:hanging="170" w:left="221" w:right="430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ocenia wpływ promieni słonecznych na skórę</w:t>
            </w:r>
          </w:p>
          <w:p>
            <w:pPr>
              <w:pStyle w:val="TableParagraph"/>
              <w:widowControl w:val="false"/>
              <w:numPr>
                <w:ilvl w:val="0"/>
                <w:numId w:val="38"/>
              </w:numPr>
              <w:tabs>
                <w:tab w:val="clear" w:pos="720"/>
                <w:tab w:val="left" w:pos="221" w:leader="none"/>
              </w:tabs>
              <w:spacing w:lineRule="exact" w:line="202" w:before="0" w:after="0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wyszukuje informacji o środkach kosmetycznych z filtrem UV przeznaczonych dla młodzieży</w:t>
            </w:r>
          </w:p>
          <w:p>
            <w:pPr>
              <w:pStyle w:val="TableParagraph"/>
              <w:widowControl w:val="false"/>
              <w:numPr>
                <w:ilvl w:val="0"/>
                <w:numId w:val="38"/>
              </w:numPr>
              <w:tabs>
                <w:tab w:val="clear" w:pos="720"/>
                <w:tab w:val="left" w:pos="222" w:leader="none"/>
              </w:tabs>
              <w:spacing w:lineRule="auto" w:line="235" w:before="0" w:after="0"/>
              <w:ind w:hanging="170" w:left="221" w:right="499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demonstruje zasady udzielania pierwszej pomocy w przypadku oparzeń skóry</w:t>
            </w:r>
          </w:p>
        </w:tc>
        <w:tc>
          <w:tcPr>
            <w:tcW w:w="2272" w:type="dxa"/>
            <w:tcBorders>
              <w:top w:val="single" w:sz="8" w:space="0" w:color="FDB515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38"/>
              </w:numPr>
              <w:tabs>
                <w:tab w:val="clear" w:pos="720"/>
                <w:tab w:val="left" w:pos="221" w:leader="none"/>
              </w:tabs>
              <w:spacing w:lineRule="exact" w:line="206" w:before="57" w:after="0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przygotowuje pytania i przeprowadza wywiad z lekarzem lub pielęgniarką na temat chorób skóry oraz profilaktyki czerniaka i grzybicy</w:t>
            </w:r>
          </w:p>
          <w:p>
            <w:pPr>
              <w:pStyle w:val="TableParagraph"/>
              <w:widowControl w:val="false"/>
              <w:numPr>
                <w:ilvl w:val="0"/>
                <w:numId w:val="38"/>
              </w:numPr>
              <w:tabs>
                <w:tab w:val="clear" w:pos="720"/>
                <w:tab w:val="left" w:pos="222" w:leader="none"/>
              </w:tabs>
              <w:spacing w:lineRule="auto" w:line="235" w:before="0" w:after="0"/>
              <w:ind w:hanging="170" w:left="221" w:right="381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wyszukuje w różnych źródłach informacje do projektu edukacyjnego na temat chorób, profilaktyki i pielęgnacji skóry młodzieńczej</w:t>
            </w:r>
          </w:p>
        </w:tc>
      </w:tr>
      <w:tr>
        <w:trPr>
          <w:trHeight w:val="2560" w:hRule="atLeast"/>
        </w:trPr>
        <w:tc>
          <w:tcPr>
            <w:tcW w:w="624" w:type="dxa"/>
            <w:vMerge w:val="restart"/>
            <w:tcBorders>
              <w:top w:val="single" w:sz="4" w:space="0" w:color="BCBEC0"/>
              <w:left w:val="single" w:sz="6" w:space="0" w:color="BCBEC0"/>
              <w:bottom w:val="single" w:sz="4" w:space="0" w:color="BCBEC0"/>
              <w:right w:val="single" w:sz="6" w:space="0" w:color="BCBEC0"/>
            </w:tcBorders>
            <w:shd w:color="auto" w:fill="auto" w:val="clear"/>
            <w:textDirection w:val="btLr"/>
          </w:tcPr>
          <w:p>
            <w:pPr>
              <w:pStyle w:val="TableParagraph"/>
              <w:widowControl w:val="false"/>
              <w:spacing w:before="9" w:after="0"/>
              <w:ind w:hanging="0" w:left="0"/>
              <w:contextualSpacing/>
              <w:jc w:val="left"/>
              <w:rPr>
                <w:rFonts w:ascii="Humanst521EU" w:hAnsi="Humanst521EU"/>
                <w:b/>
                <w:sz w:val="15"/>
              </w:rPr>
            </w:pPr>
            <w:r>
              <w:rPr>
                <w:rFonts w:ascii="Humanst521EU" w:hAnsi="Humanst521EU"/>
                <w:b/>
                <w:sz w:val="15"/>
              </w:rPr>
            </w:r>
          </w:p>
          <w:p>
            <w:pPr>
              <w:pStyle w:val="TableParagraph"/>
              <w:widowControl w:val="false"/>
              <w:spacing w:before="1" w:after="0"/>
              <w:ind w:hanging="0" w:left="1657"/>
              <w:contextualSpacing/>
              <w:jc w:val="left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II. Aparat ruchu.</w:t>
            </w:r>
          </w:p>
        </w:tc>
        <w:tc>
          <w:tcPr>
            <w:tcW w:w="1878" w:type="dxa"/>
            <w:tcBorders>
              <w:top w:val="single" w:sz="4" w:space="0" w:color="BCBEC0"/>
              <w:left w:val="single" w:sz="6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pacing w:lineRule="auto" w:line="235" w:before="61" w:after="0"/>
              <w:ind w:hanging="172" w:left="220" w:right="242"/>
              <w:contextualSpacing/>
              <w:jc w:val="left"/>
              <w:rPr>
                <w:b/>
                <w:sz w:val="17"/>
              </w:rPr>
            </w:pPr>
            <w:r>
              <w:rPr>
                <w:b/>
                <w:kern w:val="0"/>
                <w:sz w:val="17"/>
                <w:szCs w:val="22"/>
                <w:lang w:eastAsia="en-US" w:bidi="ar-SA"/>
              </w:rPr>
              <w:t>4. Aparat ruchu. Budowa szkieletu</w:t>
            </w:r>
          </w:p>
        </w:tc>
        <w:tc>
          <w:tcPr>
            <w:tcW w:w="2171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43"/>
              </w:numPr>
              <w:tabs>
                <w:tab w:val="clear" w:pos="720"/>
                <w:tab w:val="left" w:pos="222" w:leader="none"/>
              </w:tabs>
              <w:spacing w:lineRule="auto" w:line="235" w:before="2" w:after="0"/>
              <w:ind w:hanging="170" w:left="221" w:right="159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podaje nazwy wskazanych elementów budowy szkieletu</w:t>
            </w:r>
          </w:p>
          <w:p>
            <w:pPr>
              <w:pStyle w:val="TableParagraph"/>
              <w:widowControl w:val="false"/>
              <w:numPr>
                <w:ilvl w:val="0"/>
                <w:numId w:val="43"/>
              </w:numPr>
              <w:tabs>
                <w:tab w:val="clear" w:pos="720"/>
                <w:tab w:val="left" w:pos="222" w:leader="none"/>
              </w:tabs>
              <w:spacing w:lineRule="auto" w:line="235" w:before="2" w:after="0"/>
              <w:ind w:hanging="170" w:left="221" w:right="159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wymienia część bierną i czynną</w:t>
            </w:r>
          </w:p>
        </w:tc>
        <w:tc>
          <w:tcPr>
            <w:tcW w:w="226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43"/>
              </w:numPr>
              <w:tabs>
                <w:tab w:val="clear" w:pos="720"/>
                <w:tab w:val="left" w:pos="222" w:leader="none"/>
              </w:tabs>
              <w:spacing w:lineRule="auto" w:line="235" w:before="61" w:after="0"/>
              <w:ind w:hanging="170" w:left="221" w:right="486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wskazuje części bierną i czynną aparatu ruchu</w:t>
            </w:r>
          </w:p>
          <w:p>
            <w:pPr>
              <w:pStyle w:val="TableParagraph"/>
              <w:widowControl w:val="false"/>
              <w:numPr>
                <w:ilvl w:val="0"/>
                <w:numId w:val="44"/>
              </w:numPr>
              <w:tabs>
                <w:tab w:val="clear" w:pos="720"/>
                <w:tab w:val="left" w:pos="222" w:leader="none"/>
              </w:tabs>
              <w:spacing w:lineRule="auto" w:line="235" w:before="0" w:after="0"/>
              <w:ind w:hanging="170" w:left="221" w:right="286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omawia na schemacie, rysunku i modelu szkielet osiowy oraz szkielet obręczy i kończyn</w:t>
            </w:r>
          </w:p>
        </w:tc>
        <w:tc>
          <w:tcPr>
            <w:tcW w:w="2269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44"/>
              </w:numPr>
              <w:tabs>
                <w:tab w:val="clear" w:pos="720"/>
                <w:tab w:val="left" w:pos="222" w:leader="none"/>
              </w:tabs>
              <w:spacing w:lineRule="auto" w:line="235" w:before="61" w:after="0"/>
              <w:ind w:hanging="170" w:left="221" w:right="311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wyjaśnia sposób działania części bierneji czynnej aparatu ruchu</w:t>
            </w:r>
          </w:p>
          <w:p>
            <w:pPr>
              <w:pStyle w:val="TableParagraph"/>
              <w:widowControl w:val="false"/>
              <w:numPr>
                <w:ilvl w:val="0"/>
                <w:numId w:val="44"/>
              </w:numPr>
              <w:tabs>
                <w:tab w:val="clear" w:pos="720"/>
                <w:tab w:val="left" w:pos="222" w:leader="none"/>
              </w:tabs>
              <w:spacing w:lineRule="auto" w:line="235" w:before="0" w:after="0"/>
              <w:ind w:hanging="170" w:left="221" w:right="209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wskazuje na związek budowy kości z ich funkcją w organizmie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222" w:leader="none"/>
              </w:tabs>
              <w:spacing w:lineRule="auto" w:line="235" w:before="0" w:after="0"/>
              <w:ind w:hanging="0" w:left="221" w:right="307"/>
              <w:contextualSpacing/>
              <w:jc w:val="left"/>
              <w:rPr>
                <w:sz w:val="17"/>
              </w:rPr>
            </w:pPr>
            <w:r>
              <w:rPr>
                <w:sz w:val="17"/>
              </w:rPr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45"/>
              </w:numPr>
              <w:tabs>
                <w:tab w:val="clear" w:pos="720"/>
                <w:tab w:val="left" w:pos="222" w:leader="none"/>
              </w:tabs>
              <w:spacing w:lineRule="auto" w:line="235" w:before="61" w:after="0"/>
              <w:ind w:hanging="170" w:left="221" w:right="307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wyjaśnia związek budowy kości z ich funkcją w organizmie</w:t>
            </w:r>
          </w:p>
          <w:p>
            <w:pPr>
              <w:pStyle w:val="TableParagraph"/>
              <w:widowControl w:val="false"/>
              <w:numPr>
                <w:ilvl w:val="0"/>
                <w:numId w:val="45"/>
              </w:numPr>
              <w:tabs>
                <w:tab w:val="clear" w:pos="720"/>
                <w:tab w:val="left" w:pos="222" w:leader="none"/>
              </w:tabs>
              <w:spacing w:lineRule="auto" w:line="235" w:before="61" w:after="0"/>
              <w:ind w:hanging="170" w:left="221" w:right="307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rozpoznaje różne kształty kości</w:t>
            </w:r>
          </w:p>
        </w:tc>
        <w:tc>
          <w:tcPr>
            <w:tcW w:w="2272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45"/>
              </w:numPr>
              <w:tabs>
                <w:tab w:val="clear" w:pos="720"/>
                <w:tab w:val="left" w:pos="222" w:leader="none"/>
              </w:tabs>
              <w:spacing w:lineRule="auto" w:line="235" w:before="61" w:after="0"/>
              <w:ind w:hanging="170" w:left="221" w:right="316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klasyfikuje podane kości pod względem kształtów</w:t>
            </w:r>
          </w:p>
          <w:p>
            <w:pPr>
              <w:pStyle w:val="TableParagraph"/>
              <w:widowControl w:val="false"/>
              <w:numPr>
                <w:ilvl w:val="0"/>
                <w:numId w:val="45"/>
              </w:numPr>
              <w:tabs>
                <w:tab w:val="clear" w:pos="720"/>
                <w:tab w:val="left" w:pos="222" w:leader="none"/>
              </w:tabs>
              <w:spacing w:lineRule="auto" w:line="235" w:before="0" w:after="0"/>
              <w:ind w:hanging="170" w:left="221" w:right="369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na przykładzie własnego organizmu wykazuje związek budowy kości z ich funkcją</w:t>
            </w:r>
          </w:p>
        </w:tc>
      </w:tr>
      <w:tr>
        <w:trPr>
          <w:trHeight w:val="1265" w:hRule="atLeast"/>
        </w:trPr>
        <w:tc>
          <w:tcPr>
            <w:tcW w:w="624" w:type="dxa"/>
            <w:vMerge w:val="continue"/>
            <w:tcBorders>
              <w:left w:val="single" w:sz="6" w:space="0" w:color="BCBEC0"/>
              <w:bottom w:val="single" w:sz="4" w:space="0" w:color="BCBEC0"/>
              <w:right w:val="single" w:sz="6" w:space="0" w:color="BCBEC0"/>
            </w:tcBorders>
            <w:shd w:color="auto" w:fill="auto" w:val="clear"/>
            <w:textDirection w:val="btLr"/>
          </w:tcPr>
          <w:p>
            <w:pPr>
              <w:pStyle w:val="Normal"/>
              <w:widowControl w:val="false"/>
              <w:spacing w:before="0" w:after="0"/>
              <w:contextualSpacing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878" w:type="dxa"/>
            <w:tcBorders>
              <w:top w:val="single" w:sz="4" w:space="0" w:color="BCBEC0"/>
              <w:left w:val="single" w:sz="6" w:space="0" w:color="BCBEC0"/>
              <w:bottom w:val="single" w:sz="6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pacing w:lineRule="auto" w:line="235" w:before="61" w:after="0"/>
              <w:ind w:hanging="172" w:left="220" w:right="242"/>
              <w:contextualSpacing/>
              <w:jc w:val="left"/>
              <w:rPr>
                <w:b/>
                <w:sz w:val="17"/>
              </w:rPr>
            </w:pPr>
            <w:r>
              <w:rPr>
                <w:b/>
                <w:kern w:val="0"/>
                <w:sz w:val="17"/>
                <w:szCs w:val="22"/>
                <w:lang w:eastAsia="en-US" w:bidi="ar-SA"/>
              </w:rPr>
              <w:t>5. Budowa kości</w:t>
            </w:r>
          </w:p>
        </w:tc>
        <w:tc>
          <w:tcPr>
            <w:tcW w:w="2171" w:type="dxa"/>
            <w:tcBorders>
              <w:top w:val="single" w:sz="4" w:space="0" w:color="BCBEC0"/>
              <w:left w:val="single" w:sz="4" w:space="0" w:color="BCBEC0"/>
              <w:bottom w:val="single" w:sz="6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46"/>
              </w:numPr>
              <w:tabs>
                <w:tab w:val="clear" w:pos="720"/>
                <w:tab w:val="left" w:pos="222" w:leader="none"/>
              </w:tabs>
              <w:spacing w:lineRule="auto" w:line="235" w:before="0" w:after="0"/>
              <w:ind w:hanging="170" w:left="221" w:right="256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wymienia elementy budowy kości</w:t>
            </w:r>
          </w:p>
          <w:p>
            <w:pPr>
              <w:pStyle w:val="TableParagraph"/>
              <w:widowControl w:val="false"/>
              <w:numPr>
                <w:ilvl w:val="0"/>
                <w:numId w:val="46"/>
              </w:numPr>
              <w:tabs>
                <w:tab w:val="clear" w:pos="720"/>
                <w:tab w:val="left" w:pos="222" w:leader="none"/>
              </w:tabs>
              <w:spacing w:lineRule="auto" w:line="235" w:before="0" w:after="0"/>
              <w:ind w:hanging="170" w:left="221" w:right="256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wymienia nazwy kształtów kości</w:t>
            </w:r>
          </w:p>
        </w:tc>
        <w:tc>
          <w:tcPr>
            <w:tcW w:w="2267" w:type="dxa"/>
            <w:tcBorders>
              <w:top w:val="single" w:sz="4" w:space="0" w:color="BCBEC0"/>
              <w:left w:val="single" w:sz="4" w:space="0" w:color="BCBEC0"/>
              <w:bottom w:val="single" w:sz="6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47"/>
              </w:numPr>
              <w:tabs>
                <w:tab w:val="clear" w:pos="720"/>
                <w:tab w:val="left" w:pos="222" w:leader="none"/>
              </w:tabs>
              <w:spacing w:before="0" w:after="0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podaje funkcje elementów budowy kości</w:t>
            </w:r>
          </w:p>
          <w:p>
            <w:pPr>
              <w:pStyle w:val="TableParagraph"/>
              <w:widowControl w:val="false"/>
              <w:numPr>
                <w:ilvl w:val="0"/>
                <w:numId w:val="47"/>
              </w:numPr>
              <w:tabs>
                <w:tab w:val="clear" w:pos="720"/>
                <w:tab w:val="left" w:pos="222" w:leader="none"/>
              </w:tabs>
              <w:spacing w:before="0" w:after="0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rozpoznaje wśród kości podane przez nauczyciela kształty</w:t>
            </w:r>
          </w:p>
        </w:tc>
        <w:tc>
          <w:tcPr>
            <w:tcW w:w="2269" w:type="dxa"/>
            <w:tcBorders>
              <w:top w:val="single" w:sz="4" w:space="0" w:color="BCBEC0"/>
              <w:left w:val="single" w:sz="4" w:space="0" w:color="BCBEC0"/>
              <w:bottom w:val="single" w:sz="6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48"/>
              </w:numPr>
              <w:tabs>
                <w:tab w:val="clear" w:pos="720"/>
                <w:tab w:val="left" w:pos="222" w:leader="none"/>
              </w:tabs>
              <w:spacing w:lineRule="auto" w:line="235" w:before="0" w:after="0"/>
              <w:ind w:hanging="170" w:left="220" w:right="209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wskazuje zmiany zachodzące w obrębie kości człowieka wraz z wiekiem</w:t>
            </w:r>
          </w:p>
          <w:p>
            <w:pPr>
              <w:pStyle w:val="TableParagraph"/>
              <w:widowControl w:val="false"/>
              <w:numPr>
                <w:ilvl w:val="0"/>
                <w:numId w:val="48"/>
              </w:numPr>
              <w:tabs>
                <w:tab w:val="clear" w:pos="720"/>
                <w:tab w:val="left" w:pos="222" w:leader="none"/>
              </w:tabs>
              <w:spacing w:lineRule="auto" w:line="235" w:before="0" w:after="0"/>
              <w:ind w:hanging="170" w:left="220" w:right="209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wymienia typy tkanki kostnej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222" w:leader="none"/>
              </w:tabs>
              <w:spacing w:lineRule="auto" w:line="235" w:before="0" w:after="0"/>
              <w:ind w:hanging="0" w:left="220" w:right="209"/>
              <w:contextualSpacing/>
              <w:jc w:val="left"/>
              <w:rPr>
                <w:sz w:val="17"/>
              </w:rPr>
            </w:pPr>
            <w:r>
              <w:rPr>
                <w:sz w:val="17"/>
              </w:rPr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6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49"/>
              </w:numPr>
              <w:tabs>
                <w:tab w:val="clear" w:pos="720"/>
                <w:tab w:val="left" w:pos="221" w:leader="none"/>
              </w:tabs>
              <w:spacing w:lineRule="auto" w:line="235" w:before="0" w:after="0"/>
              <w:ind w:hanging="170" w:left="220" w:right="68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wyjaśnia związek pomiędzy budową kości a funkcją</w:t>
            </w:r>
          </w:p>
          <w:p>
            <w:pPr>
              <w:pStyle w:val="TableParagraph"/>
              <w:widowControl w:val="false"/>
              <w:numPr>
                <w:ilvl w:val="0"/>
                <w:numId w:val="49"/>
              </w:numPr>
              <w:tabs>
                <w:tab w:val="clear" w:pos="720"/>
                <w:tab w:val="left" w:pos="221" w:leader="none"/>
              </w:tabs>
              <w:spacing w:lineRule="auto" w:line="235" w:before="0" w:after="0"/>
              <w:ind w:hanging="170" w:left="220" w:right="68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opisuje zmiany zachodzące w obrębie szkieletu człowieka wraz z wiekiem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221" w:leader="none"/>
              </w:tabs>
              <w:spacing w:lineRule="auto" w:line="235" w:before="0" w:after="0"/>
              <w:ind w:hanging="0" w:left="221" w:right="68"/>
              <w:contextualSpacing/>
              <w:jc w:val="left"/>
              <w:rPr>
                <w:sz w:val="17"/>
              </w:rPr>
            </w:pPr>
            <w:r>
              <w:rPr>
                <w:sz w:val="17"/>
              </w:rPr>
            </w:r>
          </w:p>
        </w:tc>
        <w:tc>
          <w:tcPr>
            <w:tcW w:w="2272" w:type="dxa"/>
            <w:tcBorders>
              <w:top w:val="single" w:sz="4" w:space="0" w:color="BCBEC0"/>
              <w:left w:val="single" w:sz="4" w:space="0" w:color="BCBEC0"/>
              <w:bottom w:val="single" w:sz="6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50"/>
              </w:numPr>
              <w:tabs>
                <w:tab w:val="clear" w:pos="720"/>
                <w:tab w:val="left" w:pos="221" w:leader="none"/>
              </w:tabs>
              <w:spacing w:lineRule="auto" w:line="235" w:before="0" w:after="0"/>
              <w:ind w:hanging="170" w:left="221" w:right="248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charakteryzuje oba typy szpiku kostnego</w:t>
            </w:r>
          </w:p>
          <w:p>
            <w:pPr>
              <w:pStyle w:val="TableParagraph"/>
              <w:widowControl w:val="false"/>
              <w:numPr>
                <w:ilvl w:val="0"/>
                <w:numId w:val="50"/>
              </w:numPr>
              <w:tabs>
                <w:tab w:val="clear" w:pos="720"/>
                <w:tab w:val="left" w:pos="221" w:leader="none"/>
              </w:tabs>
              <w:spacing w:lineRule="auto" w:line="235" w:before="0" w:after="0"/>
              <w:ind w:hanging="170" w:left="220" w:right="202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udowadnia  wytrzymałość kości na złamanie</w:t>
            </w:r>
          </w:p>
        </w:tc>
      </w:tr>
    </w:tbl>
    <w:p>
      <w:pPr>
        <w:sectPr>
          <w:footerReference w:type="even" r:id="rId5"/>
          <w:footerReference w:type="default" r:id="rId6"/>
          <w:footerReference w:type="first" r:id="rId7"/>
          <w:type w:val="nextPage"/>
          <w:pgSz w:orient="landscape" w:w="15600" w:h="11630"/>
          <w:pgMar w:left="720" w:right="720" w:gutter="0" w:header="0" w:top="720" w:footer="708" w:bottom="765"/>
          <w:pgNumType w:fmt="decimal"/>
          <w:formProt w:val="false"/>
          <w:textDirection w:val="lrTb"/>
          <w:docGrid w:type="default" w:linePitch="299" w:charSpace="0"/>
        </w:sectPr>
      </w:pPr>
    </w:p>
    <w:p>
      <w:pPr>
        <w:pStyle w:val="BodyText"/>
        <w:spacing w:before="0" w:after="0"/>
        <w:ind w:left="963"/>
        <w:contextualSpacing/>
        <w:rPr>
          <w:rFonts w:ascii="Humanst521EU" w:hAnsi="Humanst521EU"/>
          <w:i w:val="false"/>
          <w:sz w:val="20"/>
        </w:rPr>
      </w:pPr>
      <w:r>
        <w:rPr>
          <w:rFonts w:ascii="Humanst521EU" w:hAnsi="Humanst521EU"/>
          <w:i w:val="false"/>
          <w:sz w:val="20"/>
        </w:rPr>
      </w:r>
    </w:p>
    <w:p>
      <w:pPr>
        <w:pStyle w:val="BodyText"/>
        <w:spacing w:before="0" w:after="0"/>
        <w:contextualSpacing/>
        <w:rPr>
          <w:rFonts w:ascii="Humanst521EU" w:hAnsi="Humanst521EU"/>
          <w:b/>
          <w:i w:val="false"/>
          <w:sz w:val="20"/>
        </w:rPr>
      </w:pPr>
      <w:r>
        <w:rPr>
          <w:rFonts w:ascii="Humanst521EU" w:hAnsi="Humanst521EU"/>
          <w:b/>
          <w:i w:val="false"/>
          <w:sz w:val="20"/>
        </w:rPr>
      </w:r>
    </w:p>
    <w:p>
      <w:pPr>
        <w:pStyle w:val="BodyText"/>
        <w:spacing w:before="1" w:after="1"/>
        <w:contextualSpacing/>
        <w:rPr>
          <w:rFonts w:ascii="Humanst521EU" w:hAnsi="Humanst521EU"/>
          <w:b/>
          <w:i w:val="false"/>
          <w:sz w:val="24"/>
        </w:rPr>
      </w:pPr>
      <w:r>
        <w:rPr>
          <w:rFonts w:ascii="Humanst521EU" w:hAnsi="Humanst521EU"/>
          <w:b/>
          <w:i w:val="false"/>
          <w:sz w:val="24"/>
        </w:rPr>
      </w:r>
    </w:p>
    <w:tbl>
      <w:tblPr>
        <w:tblStyle w:val="TableNormal"/>
        <w:tblW w:w="14186" w:type="dxa"/>
        <w:jc w:val="left"/>
        <w:tblInd w:w="-157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 w:firstRow="1" w:noVBand="0" w:lastRow="1" w:firstColumn="1" w:lastColumn="1" w:noHBand="0"/>
      </w:tblPr>
      <w:tblGrid>
        <w:gridCol w:w="977"/>
        <w:gridCol w:w="1813"/>
        <w:gridCol w:w="2884"/>
        <w:gridCol w:w="2270"/>
        <w:gridCol w:w="2269"/>
        <w:gridCol w:w="2270"/>
        <w:gridCol w:w="1703"/>
      </w:tblGrid>
      <w:tr>
        <w:trPr>
          <w:trHeight w:val="400" w:hRule="atLeast"/>
        </w:trPr>
        <w:tc>
          <w:tcPr>
            <w:tcW w:w="977" w:type="dxa"/>
            <w:vMerge w:val="restart"/>
            <w:tcBorders>
              <w:top w:val="single" w:sz="4" w:space="0" w:color="BCBEC0"/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pacing w:before="5" w:after="0"/>
              <w:ind w:hanging="0" w:left="0"/>
              <w:contextualSpacing/>
              <w:jc w:val="left"/>
              <w:rPr>
                <w:rFonts w:ascii="Humanst521EU" w:hAnsi="Humanst521EU"/>
                <w:b/>
                <w:sz w:val="24"/>
              </w:rPr>
            </w:pPr>
            <w:r>
              <w:rPr>
                <w:rFonts w:ascii="Humanst521EU" w:hAnsi="Humanst521EU"/>
                <w:b/>
                <w:sz w:val="24"/>
              </w:rPr>
            </w:r>
          </w:p>
          <w:p>
            <w:pPr>
              <w:pStyle w:val="TableParagraph"/>
              <w:widowControl w:val="false"/>
              <w:spacing w:before="0" w:after="0"/>
              <w:ind w:hanging="0" w:left="109"/>
              <w:contextualSpacing/>
              <w:jc w:val="left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Dział</w:t>
            </w:r>
          </w:p>
        </w:tc>
        <w:tc>
          <w:tcPr>
            <w:tcW w:w="1813" w:type="dxa"/>
            <w:vMerge w:val="restart"/>
            <w:tcBorders>
              <w:top w:val="single" w:sz="4" w:space="0" w:color="BCBEC0"/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pacing w:before="5" w:after="0"/>
              <w:ind w:hanging="0" w:left="0"/>
              <w:contextualSpacing/>
              <w:jc w:val="left"/>
              <w:rPr>
                <w:rFonts w:ascii="Humanst521EU" w:hAnsi="Humanst521EU"/>
                <w:b/>
                <w:sz w:val="24"/>
              </w:rPr>
            </w:pPr>
            <w:r>
              <w:rPr>
                <w:rFonts w:ascii="Humanst521EU" w:hAnsi="Humanst521EU"/>
                <w:b/>
                <w:sz w:val="24"/>
              </w:rPr>
            </w:r>
          </w:p>
          <w:p>
            <w:pPr>
              <w:pStyle w:val="TableParagraph"/>
              <w:widowControl w:val="false"/>
              <w:spacing w:before="0" w:after="0"/>
              <w:ind w:hanging="0" w:left="613" w:right="613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Temat</w:t>
            </w:r>
          </w:p>
        </w:tc>
        <w:tc>
          <w:tcPr>
            <w:tcW w:w="11396" w:type="dxa"/>
            <w:gridSpan w:val="5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pacing w:before="92" w:after="0"/>
              <w:ind w:hanging="0" w:left="4975" w:right="4975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Poziom wymagań</w:t>
            </w:r>
          </w:p>
        </w:tc>
      </w:tr>
      <w:tr>
        <w:trPr>
          <w:trHeight w:val="380" w:hRule="atLeast"/>
        </w:trPr>
        <w:tc>
          <w:tcPr>
            <w:tcW w:w="977" w:type="dxa"/>
            <w:vMerge w:val="continue"/>
            <w:tcBorders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contextualSpacing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813" w:type="dxa"/>
            <w:vMerge w:val="continue"/>
            <w:tcBorders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contextualSpacing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884" w:type="dxa"/>
            <w:tcBorders>
              <w:top w:val="single" w:sz="4" w:space="0" w:color="BCBEC0"/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pacing w:before="87" w:after="0"/>
              <w:ind w:hanging="0" w:left="334"/>
              <w:contextualSpacing/>
              <w:jc w:val="left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ocena dopuszczająca</w:t>
            </w:r>
          </w:p>
        </w:tc>
        <w:tc>
          <w:tcPr>
            <w:tcW w:w="2270" w:type="dxa"/>
            <w:tcBorders>
              <w:top w:val="single" w:sz="4" w:space="0" w:color="BCBEC0"/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pacing w:before="87" w:after="0"/>
              <w:ind w:hanging="0" w:left="418"/>
              <w:contextualSpacing/>
              <w:jc w:val="left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ocena dostateczna</w:t>
            </w:r>
          </w:p>
        </w:tc>
        <w:tc>
          <w:tcPr>
            <w:tcW w:w="2269" w:type="dxa"/>
            <w:tcBorders>
              <w:top w:val="single" w:sz="4" w:space="0" w:color="BCBEC0"/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pacing w:before="87" w:after="0"/>
              <w:ind w:hanging="0" w:left="656"/>
              <w:contextualSpacing/>
              <w:jc w:val="left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ocena dobra</w:t>
            </w:r>
          </w:p>
        </w:tc>
        <w:tc>
          <w:tcPr>
            <w:tcW w:w="2270" w:type="dxa"/>
            <w:tcBorders>
              <w:top w:val="single" w:sz="4" w:space="0" w:color="BCBEC0"/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pacing w:before="87" w:after="0"/>
              <w:ind w:hanging="0" w:left="365"/>
              <w:contextualSpacing/>
              <w:jc w:val="left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ocena bardzo dobra</w:t>
            </w:r>
          </w:p>
        </w:tc>
        <w:tc>
          <w:tcPr>
            <w:tcW w:w="1703" w:type="dxa"/>
            <w:tcBorders>
              <w:top w:val="single" w:sz="4" w:space="0" w:color="BCBEC0"/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pacing w:before="87" w:after="0"/>
              <w:ind w:hanging="0" w:left="576"/>
              <w:contextualSpacing/>
              <w:jc w:val="left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ocena celująca</w:t>
            </w:r>
          </w:p>
        </w:tc>
      </w:tr>
      <w:tr>
        <w:trPr>
          <w:trHeight w:val="2040" w:hRule="atLeast"/>
        </w:trPr>
        <w:tc>
          <w:tcPr>
            <w:tcW w:w="977" w:type="dxa"/>
            <w:vMerge w:val="restart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shd w:color="auto" w:fill="auto" w:val="clear"/>
            <w:textDirection w:val="btLr"/>
          </w:tcPr>
          <w:p>
            <w:pPr>
              <w:pStyle w:val="TableParagraph"/>
              <w:widowControl w:val="false"/>
              <w:spacing w:before="9" w:after="0"/>
              <w:ind w:hanging="0" w:left="0"/>
              <w:contextualSpacing/>
              <w:jc w:val="left"/>
              <w:rPr>
                <w:rFonts w:ascii="Humanst521EU" w:hAnsi="Humanst521EU"/>
                <w:b/>
                <w:sz w:val="15"/>
              </w:rPr>
            </w:pPr>
            <w:r>
              <w:rPr>
                <w:rFonts w:ascii="Humanst521EU" w:hAnsi="Humanst521EU"/>
                <w:b/>
                <w:sz w:val="15"/>
              </w:rPr>
            </w:r>
          </w:p>
          <w:p>
            <w:pPr>
              <w:pStyle w:val="TableParagraph"/>
              <w:widowControl w:val="false"/>
              <w:spacing w:before="1" w:after="0"/>
              <w:ind w:hanging="0" w:left="3819"/>
              <w:contextualSpacing/>
              <w:jc w:val="left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II. Układ ruchu</w:t>
            </w:r>
          </w:p>
        </w:tc>
        <w:tc>
          <w:tcPr>
            <w:tcW w:w="1813" w:type="dxa"/>
            <w:tcBorders>
              <w:top w:val="single" w:sz="8" w:space="0" w:color="FDB515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pacing w:lineRule="auto" w:line="235" w:before="61" w:after="0"/>
              <w:ind w:hanging="172" w:left="223" w:right="323"/>
              <w:contextualSpacing/>
              <w:jc w:val="left"/>
              <w:rPr>
                <w:sz w:val="17"/>
              </w:rPr>
            </w:pPr>
            <w:r>
              <w:rPr>
                <w:b/>
                <w:kern w:val="0"/>
                <w:sz w:val="17"/>
                <w:szCs w:val="22"/>
                <w:lang w:eastAsia="en-US" w:bidi="ar-SA"/>
              </w:rPr>
              <w:t>6. Budowa i rola szkieletu osiowego</w:t>
            </w:r>
          </w:p>
        </w:tc>
        <w:tc>
          <w:tcPr>
            <w:tcW w:w="2884" w:type="dxa"/>
            <w:tcBorders>
              <w:top w:val="single" w:sz="8" w:space="0" w:color="FDB515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51"/>
              </w:numPr>
              <w:tabs>
                <w:tab w:val="clear" w:pos="720"/>
                <w:tab w:val="left" w:pos="222" w:leader="none"/>
              </w:tabs>
              <w:spacing w:lineRule="auto" w:line="235" w:before="61" w:after="0"/>
              <w:ind w:hanging="170" w:left="221" w:right="64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wymienia elementy szkieletu osiowego</w:t>
            </w:r>
          </w:p>
          <w:p>
            <w:pPr>
              <w:pStyle w:val="TableParagraph"/>
              <w:widowControl w:val="false"/>
              <w:numPr>
                <w:ilvl w:val="0"/>
                <w:numId w:val="51"/>
              </w:numPr>
              <w:tabs>
                <w:tab w:val="clear" w:pos="720"/>
                <w:tab w:val="left" w:pos="222" w:leader="none"/>
              </w:tabs>
              <w:spacing w:lineRule="auto" w:line="235" w:before="0" w:after="0"/>
              <w:ind w:hanging="170" w:left="221" w:right="50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wymienia elementy budujące klatkę piersiową</w:t>
            </w:r>
          </w:p>
          <w:p>
            <w:pPr>
              <w:pStyle w:val="TableParagraph"/>
              <w:widowControl w:val="false"/>
              <w:numPr>
                <w:ilvl w:val="0"/>
                <w:numId w:val="51"/>
              </w:numPr>
              <w:tabs>
                <w:tab w:val="clear" w:pos="720"/>
                <w:tab w:val="left" w:pos="222" w:leader="none"/>
              </w:tabs>
              <w:spacing w:lineRule="auto" w:line="235" w:before="0" w:after="0"/>
              <w:ind w:hanging="170" w:left="221" w:right="237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nazywa odcinki kręgosłupa</w:t>
            </w:r>
          </w:p>
        </w:tc>
        <w:tc>
          <w:tcPr>
            <w:tcW w:w="2270" w:type="dxa"/>
            <w:tcBorders>
              <w:top w:val="single" w:sz="8" w:space="0" w:color="FDB515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51"/>
              </w:numPr>
              <w:tabs>
                <w:tab w:val="clear" w:pos="720"/>
                <w:tab w:val="left" w:pos="222" w:leader="none"/>
              </w:tabs>
              <w:spacing w:lineRule="auto" w:line="235" w:before="61" w:after="0"/>
              <w:ind w:hanging="170" w:left="221" w:right="647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wskazuje na modelu lub ilustracji mózgoczaszkę i trzewioczaszkę</w:t>
            </w:r>
          </w:p>
          <w:p>
            <w:pPr>
              <w:pStyle w:val="TableParagraph"/>
              <w:widowControl w:val="false"/>
              <w:numPr>
                <w:ilvl w:val="0"/>
                <w:numId w:val="51"/>
              </w:numPr>
              <w:tabs>
                <w:tab w:val="clear" w:pos="720"/>
                <w:tab w:val="left" w:pos="222" w:leader="none"/>
              </w:tabs>
              <w:spacing w:lineRule="auto" w:line="235" w:before="0" w:after="0"/>
              <w:ind w:hanging="170" w:left="221" w:right="70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wymienia narządy chronione przez klatkę piersiową</w:t>
            </w:r>
          </w:p>
          <w:p>
            <w:pPr>
              <w:pStyle w:val="TableParagraph"/>
              <w:widowControl w:val="false"/>
              <w:numPr>
                <w:ilvl w:val="0"/>
                <w:numId w:val="51"/>
              </w:numPr>
              <w:tabs>
                <w:tab w:val="clear" w:pos="720"/>
                <w:tab w:val="left" w:pos="222" w:leader="none"/>
              </w:tabs>
              <w:spacing w:lineRule="auto" w:line="235" w:before="61" w:after="0"/>
              <w:ind w:hanging="170" w:left="221" w:right="53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wskazuje na schemacie, rysunku i modelu elementy szkieletu osiowego</w:t>
            </w:r>
          </w:p>
        </w:tc>
        <w:tc>
          <w:tcPr>
            <w:tcW w:w="2269" w:type="dxa"/>
            <w:tcBorders>
              <w:top w:val="single" w:sz="8" w:space="0" w:color="FDB515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51"/>
              </w:numPr>
              <w:tabs>
                <w:tab w:val="clear" w:pos="720"/>
                <w:tab w:val="left" w:pos="221" w:leader="none"/>
              </w:tabs>
              <w:spacing w:lineRule="auto" w:line="235" w:before="61" w:after="0"/>
              <w:ind w:hanging="170" w:left="221" w:right="337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wymienia kości poszczególnych elementów  szkieletu osiowego</w:t>
            </w:r>
          </w:p>
          <w:p>
            <w:pPr>
              <w:pStyle w:val="TableParagraph"/>
              <w:widowControl w:val="false"/>
              <w:numPr>
                <w:ilvl w:val="0"/>
                <w:numId w:val="51"/>
              </w:numPr>
              <w:tabs>
                <w:tab w:val="clear" w:pos="720"/>
                <w:tab w:val="left" w:pos="221" w:leader="none"/>
              </w:tabs>
              <w:spacing w:lineRule="auto" w:line="235" w:before="0" w:after="0"/>
              <w:ind w:hanging="170" w:left="221" w:right="492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charakteryzuje funkcje szkieletu osiowego</w:t>
            </w:r>
          </w:p>
          <w:p>
            <w:pPr>
              <w:pStyle w:val="TableParagraph"/>
              <w:widowControl w:val="false"/>
              <w:numPr>
                <w:ilvl w:val="0"/>
                <w:numId w:val="51"/>
              </w:numPr>
              <w:tabs>
                <w:tab w:val="clear" w:pos="720"/>
                <w:tab w:val="left" w:pos="222" w:leader="none"/>
              </w:tabs>
              <w:spacing w:lineRule="auto" w:line="235" w:before="0" w:after="0"/>
              <w:ind w:hanging="170" w:left="221" w:right="269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wyjaśnia związek budowy czaszki z pełnionymi przez nią funkcjami</w:t>
            </w:r>
          </w:p>
        </w:tc>
        <w:tc>
          <w:tcPr>
            <w:tcW w:w="2270" w:type="dxa"/>
            <w:tcBorders>
              <w:top w:val="single" w:sz="8" w:space="0" w:color="FDB515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51"/>
              </w:numPr>
              <w:tabs>
                <w:tab w:val="clear" w:pos="720"/>
                <w:tab w:val="left" w:pos="221" w:leader="none"/>
              </w:tabs>
              <w:spacing w:lineRule="exact" w:line="206" w:before="57" w:after="0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omawia rolę chrząstek w budowie klatki piersiowej</w:t>
            </w:r>
          </w:p>
          <w:p>
            <w:pPr>
              <w:pStyle w:val="TableParagraph"/>
              <w:widowControl w:val="false"/>
              <w:numPr>
                <w:ilvl w:val="0"/>
                <w:numId w:val="51"/>
              </w:numPr>
              <w:tabs>
                <w:tab w:val="clear" w:pos="720"/>
                <w:tab w:val="left" w:pos="221" w:leader="none"/>
              </w:tabs>
              <w:spacing w:lineRule="auto" w:line="235" w:before="2" w:after="0"/>
              <w:ind w:hanging="170" w:left="221" w:right="243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porównuje budowę poszczególnych odcinków kręgosłupa</w:t>
            </w:r>
          </w:p>
          <w:p>
            <w:pPr>
              <w:pStyle w:val="TableParagraph"/>
              <w:widowControl w:val="false"/>
              <w:numPr>
                <w:ilvl w:val="0"/>
                <w:numId w:val="51"/>
              </w:numPr>
              <w:tabs>
                <w:tab w:val="clear" w:pos="720"/>
                <w:tab w:val="left" w:pos="222" w:leader="none"/>
              </w:tabs>
              <w:spacing w:lineRule="auto" w:line="235" w:before="61" w:after="0"/>
              <w:ind w:hanging="170" w:left="221" w:right="272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rozpoznaje elementy budowy mózgoczaszki i trzewioczaszki</w:t>
            </w:r>
          </w:p>
        </w:tc>
        <w:tc>
          <w:tcPr>
            <w:tcW w:w="1703" w:type="dxa"/>
            <w:tcBorders>
              <w:top w:val="single" w:sz="8" w:space="0" w:color="FDB515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51"/>
              </w:numPr>
              <w:tabs>
                <w:tab w:val="clear" w:pos="720"/>
                <w:tab w:val="left" w:pos="221" w:leader="none"/>
              </w:tabs>
              <w:spacing w:lineRule="auto" w:line="235" w:before="61" w:after="0"/>
              <w:ind w:hanging="170" w:left="221" w:right="260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analizuje związek budowy poszczególnych kręgów kręgosłupa z pełnioną przez nie funkcją</w:t>
            </w:r>
          </w:p>
          <w:p>
            <w:pPr>
              <w:pStyle w:val="TableParagraph"/>
              <w:widowControl w:val="false"/>
              <w:numPr>
                <w:ilvl w:val="0"/>
                <w:numId w:val="51"/>
              </w:numPr>
              <w:tabs>
                <w:tab w:val="clear" w:pos="720"/>
                <w:tab w:val="left" w:pos="222" w:leader="none"/>
              </w:tabs>
              <w:spacing w:lineRule="auto" w:line="235" w:before="61" w:after="0"/>
              <w:ind w:hanging="170" w:left="221" w:right="316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wykazuje związek budowy odcinków kręgosłupa z pełnioną przez nie funkcją</w:t>
            </w:r>
          </w:p>
          <w:p>
            <w:pPr>
              <w:pStyle w:val="TableParagraph"/>
              <w:widowControl w:val="false"/>
              <w:spacing w:lineRule="exact" w:line="204" w:before="0" w:after="0"/>
              <w:ind w:hanging="0" w:left="221"/>
              <w:contextualSpacing/>
              <w:jc w:val="left"/>
              <w:rPr>
                <w:sz w:val="17"/>
              </w:rPr>
            </w:pPr>
            <w:r>
              <w:rPr>
                <w:sz w:val="17"/>
              </w:rPr>
            </w:r>
          </w:p>
        </w:tc>
      </w:tr>
      <w:tr>
        <w:trPr>
          <w:trHeight w:val="2054" w:hRule="atLeast"/>
        </w:trPr>
        <w:tc>
          <w:tcPr>
            <w:tcW w:w="977" w:type="dxa"/>
            <w:vMerge w:val="continue"/>
            <w:tcBorders>
              <w:left w:val="single" w:sz="6" w:space="0" w:color="BCBEC0"/>
              <w:bottom w:val="single" w:sz="4" w:space="0" w:color="BCBEC0"/>
              <w:right w:val="single" w:sz="6" w:space="0" w:color="BCBEC0"/>
            </w:tcBorders>
            <w:shd w:color="auto" w:fill="auto" w:val="clear"/>
            <w:textDirection w:val="btLr"/>
          </w:tcPr>
          <w:p>
            <w:pPr>
              <w:pStyle w:val="Normal"/>
              <w:widowControl w:val="false"/>
              <w:spacing w:before="0" w:after="0"/>
              <w:contextualSpacing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813" w:type="dxa"/>
            <w:tcBorders>
              <w:top w:val="single" w:sz="4" w:space="0" w:color="BCBEC0"/>
              <w:left w:val="single" w:sz="6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pacing w:lineRule="auto" w:line="235" w:before="61" w:after="0"/>
              <w:ind w:hanging="172" w:left="219" w:right="283"/>
              <w:contextualSpacing/>
              <w:jc w:val="left"/>
              <w:rPr>
                <w:b/>
                <w:sz w:val="17"/>
              </w:rPr>
            </w:pPr>
            <w:r>
              <w:rPr>
                <w:b/>
                <w:kern w:val="0"/>
                <w:sz w:val="17"/>
                <w:szCs w:val="22"/>
                <w:lang w:eastAsia="en-US" w:bidi="ar-SA"/>
              </w:rPr>
              <w:t>7. Szkielet kończyn</w:t>
            </w:r>
          </w:p>
        </w:tc>
        <w:tc>
          <w:tcPr>
            <w:tcW w:w="2884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52"/>
              </w:numPr>
              <w:tabs>
                <w:tab w:val="clear" w:pos="720"/>
                <w:tab w:val="left" w:pos="221" w:leader="none"/>
              </w:tabs>
              <w:spacing w:lineRule="auto" w:line="235" w:before="61" w:after="0"/>
              <w:ind w:hanging="170" w:left="220" w:right="229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wymienia elementy budowy szkieletu kończyn oraz ich obręczy</w:t>
            </w:r>
          </w:p>
          <w:p>
            <w:pPr>
              <w:pStyle w:val="TableParagraph"/>
              <w:widowControl w:val="false"/>
              <w:numPr>
                <w:ilvl w:val="0"/>
                <w:numId w:val="53"/>
              </w:numPr>
              <w:tabs>
                <w:tab w:val="clear" w:pos="720"/>
                <w:tab w:val="left" w:pos="221" w:leader="none"/>
              </w:tabs>
              <w:spacing w:lineRule="auto" w:line="235" w:before="0" w:after="0"/>
              <w:ind w:hanging="170" w:left="220" w:right="177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wymienia rodzaje połączeń kości</w:t>
            </w:r>
          </w:p>
          <w:p>
            <w:pPr>
              <w:pStyle w:val="TableParagraph"/>
              <w:widowControl w:val="false"/>
              <w:numPr>
                <w:ilvl w:val="0"/>
                <w:numId w:val="53"/>
              </w:numPr>
              <w:tabs>
                <w:tab w:val="clear" w:pos="720"/>
                <w:tab w:val="left" w:pos="221" w:leader="none"/>
              </w:tabs>
              <w:spacing w:lineRule="auto" w:line="235" w:before="0" w:after="0"/>
              <w:ind w:hanging="170" w:left="220" w:right="177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rozpoznaje rodzaje stawów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221" w:leader="none"/>
              </w:tabs>
              <w:spacing w:lineRule="auto" w:line="235" w:before="61" w:after="0"/>
              <w:ind w:hanging="0" w:left="220" w:right="229"/>
              <w:contextualSpacing/>
              <w:jc w:val="left"/>
              <w:rPr>
                <w:sz w:val="17"/>
              </w:rPr>
            </w:pPr>
            <w:r>
              <w:rPr>
                <w:sz w:val="17"/>
              </w:rPr>
            </w:r>
          </w:p>
        </w:tc>
        <w:tc>
          <w:tcPr>
            <w:tcW w:w="2270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53"/>
              </w:numPr>
              <w:tabs>
                <w:tab w:val="clear" w:pos="720"/>
                <w:tab w:val="left" w:pos="221" w:leader="none"/>
              </w:tabs>
              <w:spacing w:lineRule="auto" w:line="235" w:before="61" w:after="0"/>
              <w:ind w:hanging="170" w:left="220" w:right="249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wskazuje na modelu lub schemacie kości kończyny górnej i kończyny dolnej</w:t>
            </w:r>
          </w:p>
          <w:p>
            <w:pPr>
              <w:pStyle w:val="TableParagraph"/>
              <w:widowControl w:val="false"/>
              <w:numPr>
                <w:ilvl w:val="0"/>
                <w:numId w:val="53"/>
              </w:numPr>
              <w:tabs>
                <w:tab w:val="clear" w:pos="720"/>
                <w:tab w:val="left" w:pos="221" w:leader="none"/>
              </w:tabs>
              <w:spacing w:lineRule="exact" w:line="202" w:before="0" w:after="0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opisuje budowę stawu</w:t>
            </w:r>
          </w:p>
          <w:p>
            <w:pPr>
              <w:pStyle w:val="TableParagraph"/>
              <w:widowControl w:val="false"/>
              <w:numPr>
                <w:ilvl w:val="0"/>
                <w:numId w:val="53"/>
              </w:numPr>
              <w:tabs>
                <w:tab w:val="clear" w:pos="720"/>
                <w:tab w:val="left" w:pos="221" w:leader="none"/>
              </w:tabs>
              <w:spacing w:lineRule="auto" w:line="235" w:before="2" w:after="0"/>
              <w:ind w:hanging="170" w:left="220" w:right="284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odróżnia staw zawiasowy od stawu kulistego</w:t>
            </w:r>
          </w:p>
        </w:tc>
        <w:tc>
          <w:tcPr>
            <w:tcW w:w="2269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54"/>
              </w:numPr>
              <w:tabs>
                <w:tab w:val="clear" w:pos="720"/>
                <w:tab w:val="left" w:pos="221" w:leader="none"/>
              </w:tabs>
              <w:spacing w:lineRule="auto" w:line="235" w:before="61" w:after="0"/>
              <w:ind w:hanging="170" w:left="220" w:right="308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wymienia kości tworzące obręcze: barkową i miedniczną</w:t>
            </w:r>
          </w:p>
          <w:p>
            <w:pPr>
              <w:pStyle w:val="TableParagraph"/>
              <w:widowControl w:val="false"/>
              <w:numPr>
                <w:ilvl w:val="0"/>
                <w:numId w:val="54"/>
              </w:numPr>
              <w:tabs>
                <w:tab w:val="clear" w:pos="720"/>
                <w:tab w:val="left" w:pos="221" w:leader="none"/>
              </w:tabs>
              <w:spacing w:lineRule="auto" w:line="235" w:before="3" w:after="0"/>
              <w:ind w:hanging="170" w:left="220" w:right="131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porównuje budowę kończyny górnej i dolnej</w:t>
            </w:r>
          </w:p>
          <w:p>
            <w:pPr>
              <w:pStyle w:val="TableParagraph"/>
              <w:widowControl w:val="false"/>
              <w:numPr>
                <w:ilvl w:val="0"/>
                <w:numId w:val="54"/>
              </w:numPr>
              <w:tabs>
                <w:tab w:val="clear" w:pos="720"/>
                <w:tab w:val="left" w:pos="221" w:leader="none"/>
              </w:tabs>
              <w:spacing w:lineRule="auto" w:line="235" w:before="1" w:after="0"/>
              <w:ind w:hanging="170" w:left="220" w:right="263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charakteryzuje połączenia kości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221" w:leader="none"/>
              </w:tabs>
              <w:spacing w:lineRule="auto" w:line="235" w:before="1" w:after="0"/>
              <w:ind w:hanging="0" w:left="220" w:right="273"/>
              <w:contextualSpacing/>
              <w:jc w:val="left"/>
              <w:rPr>
                <w:sz w:val="17"/>
              </w:rPr>
            </w:pPr>
            <w:r>
              <w:rPr>
                <w:sz w:val="17"/>
              </w:rPr>
            </w:r>
          </w:p>
        </w:tc>
        <w:tc>
          <w:tcPr>
            <w:tcW w:w="2270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55"/>
              </w:numPr>
              <w:tabs>
                <w:tab w:val="clear" w:pos="720"/>
                <w:tab w:val="left" w:pos="221" w:leader="none"/>
              </w:tabs>
              <w:spacing w:lineRule="auto" w:line="235" w:before="61" w:after="0"/>
              <w:ind w:hanging="170" w:left="220" w:right="229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wykazuje związek budowy szkieletu kończyn z funkcjami kończyn: górnej i dolnej</w:t>
            </w:r>
          </w:p>
          <w:p>
            <w:pPr>
              <w:pStyle w:val="TableParagraph"/>
              <w:widowControl w:val="false"/>
              <w:numPr>
                <w:ilvl w:val="0"/>
                <w:numId w:val="55"/>
              </w:numPr>
              <w:tabs>
                <w:tab w:val="clear" w:pos="720"/>
                <w:tab w:val="left" w:pos="221" w:leader="none"/>
              </w:tabs>
              <w:spacing w:lineRule="auto" w:line="235" w:before="0" w:after="0"/>
              <w:ind w:hanging="170" w:left="220" w:right="206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wyjaśnia związek budowy stawu z zakresem ruchu kończyny</w:t>
            </w:r>
          </w:p>
        </w:tc>
        <w:tc>
          <w:tcPr>
            <w:tcW w:w="1703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56"/>
              </w:numPr>
              <w:tabs>
                <w:tab w:val="clear" w:pos="720"/>
                <w:tab w:val="left" w:pos="221" w:leader="none"/>
              </w:tabs>
              <w:spacing w:lineRule="auto" w:line="235" w:before="61" w:after="0"/>
              <w:ind w:hanging="170" w:left="220" w:right="348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charakteryzuje funkcje kończyn: górnej i dolnej oraz wykazuje ich związek z funkcjonowaniem człowieka w środowisku</w:t>
            </w:r>
          </w:p>
        </w:tc>
      </w:tr>
      <w:tr>
        <w:trPr>
          <w:trHeight w:val="2260" w:hRule="atLeast"/>
        </w:trPr>
        <w:tc>
          <w:tcPr>
            <w:tcW w:w="977" w:type="dxa"/>
            <w:vMerge w:val="continue"/>
            <w:tcBorders>
              <w:left w:val="single" w:sz="6" w:space="0" w:color="BCBEC0"/>
              <w:right w:val="single" w:sz="6" w:space="0" w:color="BCBEC0"/>
            </w:tcBorders>
            <w:shd w:color="auto" w:fill="auto" w:val="clear"/>
            <w:textDirection w:val="btLr"/>
          </w:tcPr>
          <w:p>
            <w:pPr>
              <w:pStyle w:val="Normal"/>
              <w:widowControl w:val="false"/>
              <w:spacing w:before="0" w:after="0"/>
              <w:contextualSpacing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813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pacing w:lineRule="auto" w:line="235" w:before="61" w:after="0"/>
              <w:ind w:hanging="159" w:left="208" w:right="252"/>
              <w:contextualSpacing/>
              <w:jc w:val="left"/>
              <w:rPr>
                <w:b/>
                <w:sz w:val="17"/>
              </w:rPr>
            </w:pPr>
            <w:r>
              <w:rPr>
                <w:b/>
                <w:kern w:val="0"/>
                <w:sz w:val="17"/>
                <w:szCs w:val="22"/>
                <w:lang w:eastAsia="en-US" w:bidi="ar-SA"/>
              </w:rPr>
              <w:t>8. Budowa i rola mięśni</w:t>
            </w:r>
          </w:p>
        </w:tc>
        <w:tc>
          <w:tcPr>
            <w:tcW w:w="2884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57"/>
              </w:numPr>
              <w:tabs>
                <w:tab w:val="clear" w:pos="720"/>
                <w:tab w:val="left" w:pos="222" w:leader="none"/>
              </w:tabs>
              <w:spacing w:lineRule="auto" w:line="235" w:before="61" w:after="0"/>
              <w:ind w:hanging="170" w:left="220" w:right="374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wymienia rodzaje tkanki mięśniowej</w:t>
            </w:r>
          </w:p>
          <w:p>
            <w:pPr>
              <w:pStyle w:val="TableParagraph"/>
              <w:widowControl w:val="false"/>
              <w:numPr>
                <w:ilvl w:val="0"/>
                <w:numId w:val="57"/>
              </w:numPr>
              <w:tabs>
                <w:tab w:val="clear" w:pos="720"/>
                <w:tab w:val="left" w:pos="221" w:leader="none"/>
                <w:tab w:val="left" w:pos="1706" w:leader="none"/>
              </w:tabs>
              <w:spacing w:lineRule="auto" w:line="235" w:before="0" w:after="0"/>
              <w:ind w:hanging="170" w:left="220" w:right="556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wskazuje położenie w organizmie człowieka tkanek: mięśniowej gładkiej i mięśniowej poprzecznie prążkowanej szkieletowej</w:t>
            </w:r>
          </w:p>
        </w:tc>
        <w:tc>
          <w:tcPr>
            <w:tcW w:w="2270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57"/>
              </w:numPr>
              <w:tabs>
                <w:tab w:val="clear" w:pos="720"/>
                <w:tab w:val="left" w:pos="222" w:leader="none"/>
              </w:tabs>
              <w:spacing w:lineRule="auto" w:line="235" w:before="61" w:after="0"/>
              <w:ind w:hanging="170" w:left="220" w:right="148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określa funkcje wskazanych mięśni szkieletowych</w:t>
            </w:r>
          </w:p>
          <w:p>
            <w:pPr>
              <w:pStyle w:val="TableParagraph"/>
              <w:widowControl w:val="false"/>
              <w:numPr>
                <w:ilvl w:val="0"/>
                <w:numId w:val="57"/>
              </w:numPr>
              <w:tabs>
                <w:tab w:val="clear" w:pos="720"/>
                <w:tab w:val="left" w:pos="222" w:leader="none"/>
              </w:tabs>
              <w:spacing w:lineRule="auto" w:line="235" w:before="0" w:after="0"/>
              <w:ind w:hanging="170" w:left="220" w:right="659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opisuje cechy tkanki mięśniowej</w:t>
            </w:r>
          </w:p>
          <w:p>
            <w:pPr>
              <w:pStyle w:val="TableParagraph"/>
              <w:widowControl w:val="false"/>
              <w:numPr>
                <w:ilvl w:val="0"/>
                <w:numId w:val="57"/>
              </w:numPr>
              <w:tabs>
                <w:tab w:val="clear" w:pos="720"/>
                <w:tab w:val="left" w:pos="220" w:leader="none"/>
              </w:tabs>
              <w:spacing w:lineRule="auto" w:line="235" w:before="61" w:after="0"/>
              <w:ind w:hanging="170" w:left="220" w:right="92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z pomocą nauczyciela wskazuje na ilustracji najważniejsze mięśnie szkieletowe</w:t>
            </w:r>
          </w:p>
        </w:tc>
        <w:tc>
          <w:tcPr>
            <w:tcW w:w="2269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57"/>
              </w:numPr>
              <w:tabs>
                <w:tab w:val="clear" w:pos="720"/>
                <w:tab w:val="left" w:pos="222" w:leader="none"/>
              </w:tabs>
              <w:spacing w:lineRule="auto" w:line="235" w:before="61" w:after="0"/>
              <w:ind w:hanging="170" w:left="220" w:right="513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rozpoznaje mięśnie szkieletowe wskazane na ilustracji</w:t>
            </w:r>
          </w:p>
          <w:p>
            <w:pPr>
              <w:pStyle w:val="TableParagraph"/>
              <w:widowControl w:val="false"/>
              <w:numPr>
                <w:ilvl w:val="0"/>
                <w:numId w:val="57"/>
              </w:numPr>
              <w:tabs>
                <w:tab w:val="clear" w:pos="720"/>
                <w:tab w:val="left" w:pos="222" w:leader="none"/>
              </w:tabs>
              <w:spacing w:lineRule="auto" w:line="235" w:before="0" w:after="0"/>
              <w:ind w:hanging="170" w:left="220" w:right="265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opisuje czynności mięśni wskazanych na schemacie</w:t>
            </w:r>
          </w:p>
          <w:p>
            <w:pPr>
              <w:pStyle w:val="TableParagraph"/>
              <w:widowControl w:val="false"/>
              <w:numPr>
                <w:ilvl w:val="0"/>
                <w:numId w:val="57"/>
              </w:numPr>
              <w:tabs>
                <w:tab w:val="clear" w:pos="720"/>
                <w:tab w:val="left" w:pos="220" w:leader="none"/>
              </w:tabs>
              <w:spacing w:lineRule="exact" w:line="204" w:before="0" w:after="0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omawia warunki prawidłowej pracy mięśni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220" w:leader="none"/>
              </w:tabs>
              <w:spacing w:lineRule="exact" w:line="204" w:before="0" w:after="0"/>
              <w:contextualSpacing/>
              <w:jc w:val="left"/>
              <w:rPr>
                <w:sz w:val="17"/>
              </w:rPr>
            </w:pPr>
            <w:r>
              <w:rPr>
                <w:sz w:val="17"/>
              </w:rPr>
            </w:r>
          </w:p>
        </w:tc>
        <w:tc>
          <w:tcPr>
            <w:tcW w:w="2270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57"/>
              </w:numPr>
              <w:tabs>
                <w:tab w:val="clear" w:pos="720"/>
                <w:tab w:val="left" w:pos="222" w:leader="none"/>
              </w:tabs>
              <w:spacing w:lineRule="auto" w:line="235" w:before="61" w:after="0"/>
              <w:ind w:hanging="170" w:left="220" w:right="50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określa warunki prawidłowej pracy mięśni</w:t>
            </w:r>
          </w:p>
          <w:p>
            <w:pPr>
              <w:pStyle w:val="TableParagraph"/>
              <w:widowControl w:val="false"/>
              <w:numPr>
                <w:ilvl w:val="0"/>
                <w:numId w:val="57"/>
              </w:numPr>
              <w:tabs>
                <w:tab w:val="clear" w:pos="720"/>
                <w:tab w:val="left" w:pos="222" w:leader="none"/>
              </w:tabs>
              <w:spacing w:lineRule="auto" w:line="235" w:before="0" w:after="0"/>
              <w:ind w:hanging="170" w:left="220" w:right="384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charakteryzuje budowę i funkcje mięśni gładkich i poprzecznie prążkowanych</w:t>
            </w:r>
          </w:p>
          <w:p>
            <w:pPr>
              <w:pStyle w:val="TableParagraph"/>
              <w:widowControl w:val="false"/>
              <w:numPr>
                <w:ilvl w:val="0"/>
                <w:numId w:val="57"/>
              </w:numPr>
              <w:tabs>
                <w:tab w:val="clear" w:pos="720"/>
                <w:tab w:val="left" w:pos="222" w:leader="none"/>
              </w:tabs>
              <w:spacing w:lineRule="auto" w:line="235" w:before="0" w:after="0"/>
              <w:ind w:hanging="170" w:left="220" w:right="314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wyjaśnia, na czym polega antagonistyczne działanie mięśni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220" w:leader="none"/>
              </w:tabs>
              <w:spacing w:lineRule="auto" w:line="235" w:before="0" w:after="0"/>
              <w:ind w:hanging="0" w:left="220" w:right="143"/>
              <w:contextualSpacing/>
              <w:jc w:val="left"/>
              <w:rPr>
                <w:sz w:val="17"/>
              </w:rPr>
            </w:pPr>
            <w:r>
              <w:rPr>
                <w:sz w:val="17"/>
              </w:rPr>
            </w:r>
          </w:p>
        </w:tc>
        <w:tc>
          <w:tcPr>
            <w:tcW w:w="1703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58"/>
              </w:numPr>
              <w:tabs>
                <w:tab w:val="clear" w:pos="720"/>
                <w:tab w:val="left" w:pos="220" w:leader="none"/>
              </w:tabs>
              <w:spacing w:lineRule="auto" w:line="235" w:before="61" w:after="0"/>
              <w:ind w:hanging="170" w:left="219" w:right="92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na przykładzie własnego organizmu analizuje współdziałanie mięśni, ścięgien, kości i stawów w wykonywaniu ruchów</w:t>
            </w:r>
          </w:p>
          <w:p>
            <w:pPr>
              <w:pStyle w:val="TableParagraph"/>
              <w:widowControl w:val="false"/>
              <w:spacing w:lineRule="exact" w:line="204" w:before="0" w:after="0"/>
              <w:ind w:hanging="0" w:left="219"/>
              <w:contextualSpacing/>
              <w:jc w:val="left"/>
              <w:rPr>
                <w:sz w:val="17"/>
              </w:rPr>
            </w:pPr>
            <w:r>
              <w:rPr>
                <w:sz w:val="17"/>
              </w:rPr>
            </w:r>
          </w:p>
        </w:tc>
      </w:tr>
      <w:tr>
        <w:trPr>
          <w:trHeight w:val="2260" w:hRule="atLeast"/>
        </w:trPr>
        <w:tc>
          <w:tcPr>
            <w:tcW w:w="977" w:type="dxa"/>
            <w:tcBorders>
              <w:left w:val="single" w:sz="6" w:space="0" w:color="BCBEC0"/>
              <w:bottom w:val="single" w:sz="4" w:space="0" w:color="BCBEC0"/>
              <w:right w:val="single" w:sz="6" w:space="0" w:color="BCBEC0"/>
            </w:tcBorders>
            <w:shd w:color="auto" w:fill="auto" w:val="clear"/>
            <w:textDirection w:val="btLr"/>
          </w:tcPr>
          <w:p>
            <w:pPr>
              <w:pStyle w:val="Normal"/>
              <w:widowControl w:val="false"/>
              <w:spacing w:before="0" w:after="0"/>
              <w:contextualSpacing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813" w:type="dxa"/>
            <w:tcBorders>
              <w:top w:val="single" w:sz="4" w:space="0" w:color="BCBEC0"/>
              <w:left w:val="single" w:sz="4" w:space="0" w:color="BCBEC0"/>
              <w:bottom w:val="single" w:sz="6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pacing w:lineRule="auto" w:line="235" w:before="61" w:after="0"/>
              <w:ind w:hanging="159" w:left="208" w:right="252"/>
              <w:contextualSpacing/>
              <w:jc w:val="left"/>
              <w:rPr>
                <w:b/>
                <w:sz w:val="17"/>
              </w:rPr>
            </w:pPr>
            <w:r>
              <w:rPr>
                <w:b/>
                <w:kern w:val="0"/>
                <w:sz w:val="17"/>
                <w:szCs w:val="22"/>
                <w:lang w:eastAsia="en-US" w:bidi="ar-SA"/>
              </w:rPr>
              <w:t>9. Higiena i choroby układu ruchu</w:t>
            </w:r>
          </w:p>
        </w:tc>
        <w:tc>
          <w:tcPr>
            <w:tcW w:w="2884" w:type="dxa"/>
            <w:tcBorders>
              <w:top w:val="single" w:sz="4" w:space="0" w:color="BCBEC0"/>
              <w:left w:val="single" w:sz="4" w:space="0" w:color="BCBEC0"/>
              <w:bottom w:val="single" w:sz="6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57"/>
              </w:numPr>
              <w:tabs>
                <w:tab w:val="clear" w:pos="720"/>
                <w:tab w:val="left" w:pos="219" w:leader="none"/>
              </w:tabs>
              <w:spacing w:lineRule="auto" w:line="235" w:before="61" w:after="0"/>
              <w:ind w:hanging="170" w:left="220" w:right="415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wymienia naturalne krzywizny kręgosłupa</w:t>
            </w:r>
          </w:p>
          <w:p>
            <w:pPr>
              <w:pStyle w:val="TableParagraph"/>
              <w:widowControl w:val="false"/>
              <w:numPr>
                <w:ilvl w:val="0"/>
                <w:numId w:val="57"/>
              </w:numPr>
              <w:tabs>
                <w:tab w:val="clear" w:pos="720"/>
                <w:tab w:val="left" w:pos="219" w:leader="none"/>
              </w:tabs>
              <w:spacing w:lineRule="auto" w:line="235" w:before="0" w:after="0"/>
              <w:ind w:hanging="170" w:left="220" w:right="193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opisuje przyczyny powstawania wad postawy</w:t>
            </w:r>
          </w:p>
          <w:p>
            <w:pPr>
              <w:pStyle w:val="TableParagraph"/>
              <w:widowControl w:val="false"/>
              <w:numPr>
                <w:ilvl w:val="0"/>
                <w:numId w:val="57"/>
              </w:numPr>
              <w:tabs>
                <w:tab w:val="clear" w:pos="720"/>
                <w:tab w:val="left" w:pos="219" w:leader="none"/>
              </w:tabs>
              <w:spacing w:lineRule="auto" w:line="235" w:before="0" w:after="0"/>
              <w:ind w:hanging="170" w:left="220" w:right="217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wymienia choroby aparatu ruchu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221" w:leader="none"/>
              </w:tabs>
              <w:spacing w:lineRule="exact" w:line="202" w:before="0" w:after="0"/>
              <w:ind w:hanging="0" w:left="220"/>
              <w:contextualSpacing/>
              <w:jc w:val="left"/>
              <w:rPr>
                <w:sz w:val="17"/>
              </w:rPr>
            </w:pPr>
            <w:r>
              <w:rPr>
                <w:sz w:val="17"/>
              </w:rPr>
            </w:r>
          </w:p>
        </w:tc>
        <w:tc>
          <w:tcPr>
            <w:tcW w:w="2270" w:type="dxa"/>
            <w:tcBorders>
              <w:top w:val="single" w:sz="4" w:space="0" w:color="BCBEC0"/>
              <w:left w:val="single" w:sz="4" w:space="0" w:color="BCBEC0"/>
              <w:bottom w:val="single" w:sz="6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57"/>
              </w:numPr>
              <w:tabs>
                <w:tab w:val="clear" w:pos="720"/>
                <w:tab w:val="left" w:pos="222" w:leader="none"/>
              </w:tabs>
              <w:spacing w:lineRule="auto" w:line="235" w:before="61" w:after="0"/>
              <w:ind w:hanging="170" w:left="220" w:right="219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rozpoznaje przedstawione na ilustracji wady postawy</w:t>
            </w:r>
          </w:p>
          <w:p>
            <w:pPr>
              <w:pStyle w:val="TableParagraph"/>
              <w:widowControl w:val="false"/>
              <w:numPr>
                <w:ilvl w:val="0"/>
                <w:numId w:val="57"/>
              </w:numPr>
              <w:tabs>
                <w:tab w:val="clear" w:pos="720"/>
                <w:tab w:val="left" w:pos="222" w:leader="none"/>
              </w:tabs>
              <w:spacing w:lineRule="exact" w:line="202" w:before="0" w:after="0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opisuje urazy mechaniczne kończyn</w:t>
            </w:r>
          </w:p>
          <w:p>
            <w:pPr>
              <w:pStyle w:val="TableParagraph"/>
              <w:widowControl w:val="false"/>
              <w:numPr>
                <w:ilvl w:val="0"/>
                <w:numId w:val="57"/>
              </w:numPr>
              <w:tabs>
                <w:tab w:val="clear" w:pos="720"/>
                <w:tab w:val="left" w:pos="222" w:leader="none"/>
              </w:tabs>
              <w:spacing w:lineRule="auto" w:line="235" w:before="3" w:after="0"/>
              <w:ind w:hanging="170" w:left="220" w:right="293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omawia zasady udzielania pierwszej pomocy w przypadku urazów mechanicznych kończyn</w:t>
            </w:r>
          </w:p>
          <w:p>
            <w:pPr>
              <w:pStyle w:val="TableParagraph"/>
              <w:widowControl w:val="false"/>
              <w:numPr>
                <w:ilvl w:val="0"/>
                <w:numId w:val="57"/>
              </w:numPr>
              <w:tabs>
                <w:tab w:val="clear" w:pos="720"/>
                <w:tab w:val="left" w:pos="222" w:leader="none"/>
              </w:tabs>
              <w:spacing w:lineRule="auto" w:line="235" w:before="1" w:after="0"/>
              <w:ind w:hanging="170" w:left="220" w:right="231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omawia przyczyny chorób aparatu ruchu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220" w:leader="none"/>
              </w:tabs>
              <w:spacing w:lineRule="auto" w:line="235" w:before="61" w:after="0"/>
              <w:ind w:hanging="0" w:left="220" w:right="92"/>
              <w:contextualSpacing/>
              <w:jc w:val="left"/>
              <w:rPr>
                <w:sz w:val="17"/>
              </w:rPr>
            </w:pPr>
            <w:r>
              <w:rPr>
                <w:sz w:val="17"/>
              </w:rPr>
            </w:r>
          </w:p>
        </w:tc>
        <w:tc>
          <w:tcPr>
            <w:tcW w:w="2269" w:type="dxa"/>
            <w:tcBorders>
              <w:top w:val="single" w:sz="4" w:space="0" w:color="BCBEC0"/>
              <w:left w:val="single" w:sz="4" w:space="0" w:color="BCBEC0"/>
              <w:bottom w:val="single" w:sz="6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57"/>
              </w:numPr>
              <w:tabs>
                <w:tab w:val="clear" w:pos="720"/>
                <w:tab w:val="left" w:pos="221" w:leader="none"/>
              </w:tabs>
              <w:spacing w:lineRule="auto" w:line="235" w:before="61" w:after="0"/>
              <w:ind w:hanging="170" w:left="220" w:right="417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rozpoznaje naturalne krzywizny kręgosłupa</w:t>
            </w:r>
          </w:p>
          <w:p>
            <w:pPr>
              <w:pStyle w:val="TableParagraph"/>
              <w:widowControl w:val="false"/>
              <w:numPr>
                <w:ilvl w:val="0"/>
                <w:numId w:val="57"/>
              </w:numPr>
              <w:tabs>
                <w:tab w:val="clear" w:pos="720"/>
                <w:tab w:val="left" w:pos="221" w:leader="none"/>
              </w:tabs>
              <w:spacing w:lineRule="auto" w:line="235" w:before="0" w:after="0"/>
              <w:ind w:hanging="170" w:left="220" w:right="193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wyjaśnia przyczyny powstawania wad postawy</w:t>
            </w:r>
          </w:p>
          <w:p>
            <w:pPr>
              <w:pStyle w:val="TableParagraph"/>
              <w:widowControl w:val="false"/>
              <w:numPr>
                <w:ilvl w:val="0"/>
                <w:numId w:val="57"/>
              </w:numPr>
              <w:tabs>
                <w:tab w:val="clear" w:pos="720"/>
                <w:tab w:val="left" w:pos="221" w:leader="none"/>
              </w:tabs>
              <w:spacing w:lineRule="auto" w:line="235" w:before="0" w:after="0"/>
              <w:ind w:hanging="170" w:left="220" w:right="116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charakteryzuje zmiany zachodzące wraz z wiekiem w układzie kostnym</w:t>
            </w:r>
          </w:p>
          <w:p>
            <w:pPr>
              <w:pStyle w:val="TableParagraph"/>
              <w:widowControl w:val="false"/>
              <w:numPr>
                <w:ilvl w:val="0"/>
                <w:numId w:val="57"/>
              </w:numPr>
              <w:tabs>
                <w:tab w:val="clear" w:pos="720"/>
                <w:tab w:val="left" w:pos="221" w:leader="none"/>
              </w:tabs>
              <w:spacing w:lineRule="auto" w:line="235" w:before="0" w:after="0"/>
              <w:ind w:hanging="170" w:left="220" w:right="107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określa czynniki wpływające na prawidłowy rozwój muskulatury ciała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220" w:leader="none"/>
              </w:tabs>
              <w:spacing w:lineRule="auto" w:line="235" w:before="61" w:after="0"/>
              <w:ind w:hanging="0" w:left="220" w:right="92"/>
              <w:contextualSpacing/>
              <w:jc w:val="left"/>
              <w:rPr>
                <w:sz w:val="17"/>
              </w:rPr>
            </w:pPr>
            <w:r>
              <w:rPr>
                <w:sz w:val="17"/>
              </w:rPr>
            </w:r>
          </w:p>
        </w:tc>
        <w:tc>
          <w:tcPr>
            <w:tcW w:w="2270" w:type="dxa"/>
            <w:tcBorders>
              <w:top w:val="single" w:sz="4" w:space="0" w:color="BCBEC0"/>
              <w:left w:val="single" w:sz="4" w:space="0" w:color="BCBEC0"/>
              <w:bottom w:val="single" w:sz="6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57"/>
              </w:numPr>
              <w:tabs>
                <w:tab w:val="clear" w:pos="720"/>
                <w:tab w:val="left" w:pos="221" w:leader="none"/>
              </w:tabs>
              <w:spacing w:lineRule="auto" w:line="235" w:before="0" w:after="0"/>
              <w:ind w:hanging="170" w:left="220" w:right="559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planuje i demonstruje czynności udzielania pierwszej pomocy w przypadku urazów mechanicznych kończyn</w:t>
            </w:r>
          </w:p>
          <w:p>
            <w:pPr>
              <w:pStyle w:val="TableParagraph"/>
              <w:widowControl w:val="false"/>
              <w:numPr>
                <w:ilvl w:val="0"/>
                <w:numId w:val="57"/>
              </w:numPr>
              <w:tabs>
                <w:tab w:val="clear" w:pos="720"/>
                <w:tab w:val="left" w:pos="220" w:leader="none"/>
              </w:tabs>
              <w:spacing w:lineRule="auto" w:line="235" w:before="61" w:after="0"/>
              <w:ind w:hanging="170" w:left="220" w:right="203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przewiduje skutki przyjmowania nieprawidłowej postawy ciała</w:t>
            </w:r>
          </w:p>
        </w:tc>
        <w:tc>
          <w:tcPr>
            <w:tcW w:w="1703" w:type="dxa"/>
            <w:tcBorders>
              <w:top w:val="single" w:sz="4" w:space="0" w:color="BCBEC0"/>
              <w:left w:val="single" w:sz="4" w:space="0" w:color="BCBEC0"/>
              <w:bottom w:val="single" w:sz="6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57"/>
              </w:numPr>
              <w:tabs>
                <w:tab w:val="clear" w:pos="720"/>
                <w:tab w:val="left" w:pos="221" w:leader="none"/>
              </w:tabs>
              <w:spacing w:lineRule="auto" w:line="235" w:before="61" w:after="0"/>
              <w:ind w:hanging="170" w:left="220" w:right="329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 </w:t>
            </w:r>
            <w:r>
              <w:rPr>
                <w:kern w:val="0"/>
                <w:sz w:val="17"/>
                <w:szCs w:val="22"/>
                <w:lang w:eastAsia="en-US" w:bidi="ar-SA"/>
              </w:rPr>
              <w:t>prezentuje prawidłową postawę siedzenia zapobiegającą  deformacjom kręgosłupa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221" w:leader="none"/>
              </w:tabs>
              <w:spacing w:lineRule="auto" w:line="235" w:before="0" w:after="0"/>
              <w:ind w:hanging="0" w:left="220" w:right="277"/>
              <w:contextualSpacing/>
              <w:jc w:val="left"/>
              <w:rPr>
                <w:sz w:val="17"/>
              </w:rPr>
            </w:pPr>
            <w:r>
              <w:rPr>
                <w:sz w:val="17"/>
              </w:rPr>
            </w:r>
          </w:p>
          <w:p>
            <w:pPr>
              <w:pStyle w:val="TableParagraph"/>
              <w:widowControl w:val="false"/>
              <w:numPr>
                <w:ilvl w:val="0"/>
                <w:numId w:val="57"/>
              </w:numPr>
              <w:tabs>
                <w:tab w:val="clear" w:pos="720"/>
                <w:tab w:val="left" w:pos="220" w:leader="none"/>
              </w:tabs>
              <w:spacing w:lineRule="auto" w:line="235" w:before="0" w:after="0"/>
              <w:ind w:hanging="170" w:left="220" w:right="498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uzasadnia konieczność regularnych ćwiczeń gimnastycznych dla prawidłowego funkcjonowania aparatu ruchu</w:t>
            </w:r>
          </w:p>
        </w:tc>
      </w:tr>
    </w:tbl>
    <w:p>
      <w:pPr>
        <w:sectPr>
          <w:footerReference w:type="even" r:id="rId8"/>
          <w:footerReference w:type="default" r:id="rId9"/>
          <w:footerReference w:type="first" r:id="rId10"/>
          <w:type w:val="nextPage"/>
          <w:pgSz w:orient="landscape" w:w="15600" w:h="11630"/>
          <w:pgMar w:left="720" w:right="720" w:gutter="0" w:header="0" w:top="720" w:footer="708" w:bottom="765"/>
          <w:pgNumType w:fmt="decimal"/>
          <w:formProt w:val="false"/>
          <w:textDirection w:val="lrTb"/>
          <w:docGrid w:type="default" w:linePitch="299" w:charSpace="0"/>
        </w:sectPr>
      </w:pPr>
    </w:p>
    <w:p>
      <w:pPr>
        <w:pStyle w:val="BodyText"/>
        <w:spacing w:before="0" w:after="0"/>
        <w:contextualSpacing/>
        <w:rPr>
          <w:rFonts w:ascii="Humanst521EU" w:hAnsi="Humanst521EU"/>
          <w:b/>
          <w:i w:val="false"/>
          <w:sz w:val="20"/>
        </w:rPr>
      </w:pPr>
      <w:r>
        <w:rPr>
          <w:rFonts w:ascii="Humanst521EU" w:hAnsi="Humanst521EU"/>
          <w:b/>
          <w:i w:val="false"/>
          <w:sz w:val="20"/>
        </w:rPr>
      </w:r>
    </w:p>
    <w:p>
      <w:pPr>
        <w:pStyle w:val="BodyText"/>
        <w:spacing w:before="1" w:after="1"/>
        <w:contextualSpacing/>
        <w:rPr>
          <w:rFonts w:ascii="Humanst521EU" w:hAnsi="Humanst521EU"/>
          <w:b/>
          <w:i w:val="false"/>
          <w:sz w:val="24"/>
        </w:rPr>
      </w:pPr>
      <w:r>
        <w:rPr>
          <w:rFonts w:ascii="Humanst521EU" w:hAnsi="Humanst521EU"/>
          <w:b/>
          <w:i w:val="false"/>
          <w:sz w:val="24"/>
        </w:rPr>
      </w:r>
    </w:p>
    <w:tbl>
      <w:tblPr>
        <w:tblStyle w:val="TableNormal"/>
        <w:tblW w:w="14130" w:type="dxa"/>
        <w:jc w:val="left"/>
        <w:tblInd w:w="-45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 w:firstRow="1" w:noVBand="0" w:lastRow="1" w:firstColumn="1" w:lastColumn="1" w:noHBand="0"/>
      </w:tblPr>
      <w:tblGrid>
        <w:gridCol w:w="976"/>
        <w:gridCol w:w="1981"/>
        <w:gridCol w:w="2605"/>
        <w:gridCol w:w="2271"/>
        <w:gridCol w:w="2268"/>
        <w:gridCol w:w="2271"/>
        <w:gridCol w:w="1758"/>
      </w:tblGrid>
      <w:tr>
        <w:trPr>
          <w:trHeight w:val="400" w:hRule="atLeast"/>
        </w:trPr>
        <w:tc>
          <w:tcPr>
            <w:tcW w:w="976" w:type="dxa"/>
            <w:vMerge w:val="restart"/>
            <w:tcBorders>
              <w:top w:val="single" w:sz="4" w:space="0" w:color="BCBEC0"/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pacing w:before="0" w:after="0"/>
              <w:ind w:hanging="0" w:left="109"/>
              <w:contextualSpacing/>
              <w:jc w:val="left"/>
              <w:rPr>
                <w:rFonts w:ascii="Humanst521EU" w:hAnsi="Humanst521EU"/>
                <w:b/>
                <w:sz w:val="24"/>
              </w:rPr>
            </w:pPr>
            <w:r>
              <w:rPr>
                <w:rFonts w:ascii="Humanst521EU" w:hAnsi="Humanst521EU"/>
                <w:b/>
                <w:sz w:val="24"/>
              </w:rPr>
            </w:r>
          </w:p>
          <w:p>
            <w:pPr>
              <w:pStyle w:val="TableParagraph"/>
              <w:widowControl w:val="false"/>
              <w:spacing w:before="0" w:after="0"/>
              <w:ind w:hanging="0" w:left="109"/>
              <w:contextualSpacing/>
              <w:jc w:val="left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Dział</w:t>
            </w:r>
          </w:p>
        </w:tc>
        <w:tc>
          <w:tcPr>
            <w:tcW w:w="1981" w:type="dxa"/>
            <w:vMerge w:val="restart"/>
            <w:tcBorders>
              <w:top w:val="single" w:sz="4" w:space="0" w:color="BCBEC0"/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pacing w:before="5" w:after="0"/>
              <w:ind w:hanging="0" w:left="0"/>
              <w:contextualSpacing/>
              <w:jc w:val="left"/>
              <w:rPr>
                <w:rFonts w:ascii="Humanst521EU" w:hAnsi="Humanst521EU"/>
                <w:b/>
                <w:sz w:val="24"/>
              </w:rPr>
            </w:pPr>
            <w:r>
              <w:rPr>
                <w:rFonts w:ascii="Humanst521EU" w:hAnsi="Humanst521EU"/>
                <w:b/>
                <w:sz w:val="24"/>
              </w:rPr>
            </w:r>
          </w:p>
          <w:p>
            <w:pPr>
              <w:pStyle w:val="TableParagraph"/>
              <w:widowControl w:val="false"/>
              <w:spacing w:before="0" w:after="0"/>
              <w:ind w:hanging="0" w:left="613" w:right="613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Temat</w:t>
            </w:r>
          </w:p>
        </w:tc>
        <w:tc>
          <w:tcPr>
            <w:tcW w:w="11173" w:type="dxa"/>
            <w:gridSpan w:val="5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pacing w:before="92" w:after="0"/>
              <w:ind w:hanging="0" w:left="4975" w:right="4975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Poziom wymagań</w:t>
            </w:r>
          </w:p>
        </w:tc>
      </w:tr>
      <w:tr>
        <w:trPr>
          <w:trHeight w:val="380" w:hRule="atLeast"/>
        </w:trPr>
        <w:tc>
          <w:tcPr>
            <w:tcW w:w="976" w:type="dxa"/>
            <w:vMerge w:val="continue"/>
            <w:tcBorders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contextualSpacing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981" w:type="dxa"/>
            <w:vMerge w:val="continue"/>
            <w:tcBorders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contextualSpacing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605" w:type="dxa"/>
            <w:tcBorders>
              <w:top w:val="single" w:sz="4" w:space="0" w:color="BCBEC0"/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pacing w:before="87" w:after="0"/>
              <w:ind w:hanging="0" w:left="334"/>
              <w:contextualSpacing/>
              <w:jc w:val="left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ocena dopuszczająca</w:t>
            </w:r>
          </w:p>
        </w:tc>
        <w:tc>
          <w:tcPr>
            <w:tcW w:w="2271" w:type="dxa"/>
            <w:tcBorders>
              <w:top w:val="single" w:sz="4" w:space="0" w:color="BCBEC0"/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pacing w:before="87" w:after="0"/>
              <w:ind w:hanging="0" w:left="418"/>
              <w:contextualSpacing/>
              <w:jc w:val="left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ocena dostateczna</w:t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pacing w:before="87" w:after="0"/>
              <w:ind w:hanging="0" w:left="656"/>
              <w:contextualSpacing/>
              <w:jc w:val="left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ocena dobra</w:t>
            </w:r>
          </w:p>
        </w:tc>
        <w:tc>
          <w:tcPr>
            <w:tcW w:w="2271" w:type="dxa"/>
            <w:tcBorders>
              <w:top w:val="single" w:sz="4" w:space="0" w:color="BCBEC0"/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pacing w:before="87" w:after="0"/>
              <w:ind w:hanging="0" w:left="365"/>
              <w:contextualSpacing/>
              <w:jc w:val="left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ocena bardzo dobra</w:t>
            </w:r>
          </w:p>
        </w:tc>
        <w:tc>
          <w:tcPr>
            <w:tcW w:w="1758" w:type="dxa"/>
            <w:tcBorders>
              <w:top w:val="single" w:sz="4" w:space="0" w:color="BCBEC0"/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pacing w:before="87" w:after="0"/>
              <w:ind w:hanging="0" w:left="576"/>
              <w:contextualSpacing/>
              <w:jc w:val="left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ocena celująca</w:t>
            </w:r>
          </w:p>
        </w:tc>
      </w:tr>
      <w:tr>
        <w:trPr>
          <w:trHeight w:val="2777" w:hRule="atLeast"/>
        </w:trPr>
        <w:tc>
          <w:tcPr>
            <w:tcW w:w="976" w:type="dxa"/>
            <w:vMerge w:val="restart"/>
            <w:tcBorders>
              <w:top w:val="single" w:sz="8" w:space="0" w:color="FDB515"/>
              <w:left w:val="single" w:sz="6" w:space="0" w:color="BCBEC0"/>
              <w:bottom w:val="single" w:sz="4" w:space="0" w:color="BCBEC0"/>
              <w:right w:val="single" w:sz="6" w:space="0" w:color="BCBEC0"/>
            </w:tcBorders>
            <w:shd w:color="auto" w:fill="auto" w:val="clear"/>
            <w:textDirection w:val="btLr"/>
          </w:tcPr>
          <w:p>
            <w:pPr>
              <w:pStyle w:val="TableParagraph"/>
              <w:widowControl w:val="false"/>
              <w:spacing w:before="9" w:after="0"/>
              <w:ind w:hanging="0" w:left="0"/>
              <w:contextualSpacing/>
              <w:jc w:val="left"/>
              <w:rPr>
                <w:rFonts w:ascii="Humanst521EU" w:hAnsi="Humanst521EU"/>
                <w:b/>
                <w:sz w:val="15"/>
              </w:rPr>
            </w:pPr>
            <w:r>
              <w:rPr>
                <w:rFonts w:ascii="Humanst521EU" w:hAnsi="Humanst521EU"/>
                <w:b/>
                <w:sz w:val="15"/>
              </w:rPr>
            </w:r>
          </w:p>
          <w:p>
            <w:pPr>
              <w:pStyle w:val="TableParagraph"/>
              <w:widowControl w:val="false"/>
              <w:spacing w:before="1" w:after="0"/>
              <w:ind w:hanging="0" w:left="3649"/>
              <w:contextualSpacing/>
              <w:jc w:val="left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I</w:t>
            </w:r>
            <w:r>
              <w:rPr>
                <w:rFonts w:ascii="Humanst521EU" w:hAnsi="Humanst521EU"/>
                <w:b/>
                <w:spacing w:val="-23"/>
                <w:kern w:val="0"/>
                <w:sz w:val="17"/>
                <w:szCs w:val="22"/>
                <w:lang w:eastAsia="en-US" w:bidi="ar-SA"/>
              </w:rPr>
              <w:t>II</w:t>
            </w: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. Układ pokarmowy</w:t>
            </w:r>
          </w:p>
        </w:tc>
        <w:tc>
          <w:tcPr>
            <w:tcW w:w="1981" w:type="dxa"/>
            <w:tcBorders>
              <w:top w:val="single" w:sz="8" w:space="0" w:color="FDB515"/>
              <w:left w:val="single" w:sz="6" w:space="0" w:color="BCBEC0"/>
              <w:bottom w:val="single" w:sz="4" w:space="0" w:color="BCBEC0"/>
              <w:right w:val="single" w:sz="6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pacing w:lineRule="auto" w:line="235" w:before="61" w:after="0"/>
              <w:ind w:hanging="258" w:left="306" w:right="193"/>
              <w:contextualSpacing/>
              <w:jc w:val="left"/>
              <w:rPr>
                <w:b/>
                <w:sz w:val="17"/>
              </w:rPr>
            </w:pPr>
            <w:r>
              <w:rPr>
                <w:b/>
                <w:kern w:val="0"/>
                <w:sz w:val="17"/>
                <w:szCs w:val="22"/>
                <w:lang w:eastAsia="en-US" w:bidi="ar-SA"/>
              </w:rPr>
              <w:t>10. Pokarm – budulec i źródło energii</w:t>
            </w:r>
          </w:p>
        </w:tc>
        <w:tc>
          <w:tcPr>
            <w:tcW w:w="2605" w:type="dxa"/>
            <w:tcBorders>
              <w:top w:val="single" w:sz="8" w:space="0" w:color="FDB515"/>
              <w:left w:val="single" w:sz="6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59"/>
              </w:numPr>
              <w:tabs>
                <w:tab w:val="clear" w:pos="720"/>
                <w:tab w:val="left" w:pos="220" w:leader="none"/>
              </w:tabs>
              <w:spacing w:lineRule="auto" w:line="235" w:before="61" w:after="0"/>
              <w:ind w:hanging="170" w:left="219" w:right="453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wymienia podstawowe składniki odżywcze</w:t>
            </w:r>
          </w:p>
          <w:p>
            <w:pPr>
              <w:pStyle w:val="TableParagraph"/>
              <w:widowControl w:val="false"/>
              <w:numPr>
                <w:ilvl w:val="0"/>
                <w:numId w:val="59"/>
              </w:numPr>
              <w:tabs>
                <w:tab w:val="clear" w:pos="720"/>
                <w:tab w:val="left" w:pos="220" w:leader="none"/>
              </w:tabs>
              <w:spacing w:lineRule="auto" w:line="235" w:before="0" w:after="0"/>
              <w:ind w:hanging="170" w:left="219" w:right="438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nazywa produkty spożywcze zawierające białko</w:t>
            </w:r>
          </w:p>
          <w:p>
            <w:pPr>
              <w:pStyle w:val="TableParagraph"/>
              <w:widowControl w:val="false"/>
              <w:numPr>
                <w:ilvl w:val="0"/>
                <w:numId w:val="59"/>
              </w:numPr>
              <w:tabs>
                <w:tab w:val="clear" w:pos="720"/>
                <w:tab w:val="left" w:pos="220" w:leader="none"/>
              </w:tabs>
              <w:spacing w:lineRule="auto" w:line="235" w:before="0" w:after="0"/>
              <w:ind w:hanging="170" w:left="219" w:right="639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podaje przykłady pokarmów, które są źródłem cukrów</w:t>
            </w:r>
          </w:p>
          <w:p>
            <w:pPr>
              <w:pStyle w:val="TableParagraph"/>
              <w:widowControl w:val="false"/>
              <w:numPr>
                <w:ilvl w:val="0"/>
                <w:numId w:val="59"/>
              </w:numPr>
              <w:tabs>
                <w:tab w:val="clear" w:pos="720"/>
                <w:tab w:val="left" w:pos="220" w:leader="none"/>
              </w:tabs>
              <w:spacing w:lineRule="auto" w:line="235" w:before="0" w:after="0"/>
              <w:ind w:hanging="170" w:left="219" w:right="639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wymienia pokarmy zawierające tłuszcze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222" w:leader="none"/>
              </w:tabs>
              <w:spacing w:lineRule="auto" w:line="235" w:before="59" w:after="0"/>
              <w:ind w:hanging="0" w:left="221" w:right="95"/>
              <w:contextualSpacing/>
              <w:jc w:val="left"/>
              <w:rPr>
                <w:sz w:val="17"/>
              </w:rPr>
            </w:pPr>
            <w:r>
              <w:rPr>
                <w:sz w:val="17"/>
              </w:rPr>
            </w:r>
          </w:p>
        </w:tc>
        <w:tc>
          <w:tcPr>
            <w:tcW w:w="2271" w:type="dxa"/>
            <w:tcBorders>
              <w:top w:val="single" w:sz="8" w:space="0" w:color="FDB515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60"/>
              </w:numPr>
              <w:tabs>
                <w:tab w:val="clear" w:pos="720"/>
                <w:tab w:val="left" w:pos="222" w:leader="none"/>
              </w:tabs>
              <w:spacing w:lineRule="auto" w:line="235" w:before="61" w:after="0"/>
              <w:ind w:hanging="170" w:left="221" w:right="343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klasyfikuje składniki odżywcze na budulcowe i energetyczne</w:t>
            </w:r>
          </w:p>
          <w:p>
            <w:pPr>
              <w:pStyle w:val="TableParagraph"/>
              <w:widowControl w:val="false"/>
              <w:numPr>
                <w:ilvl w:val="0"/>
                <w:numId w:val="60"/>
              </w:numPr>
              <w:tabs>
                <w:tab w:val="clear" w:pos="720"/>
                <w:tab w:val="left" w:pos="222" w:leader="none"/>
              </w:tabs>
              <w:spacing w:lineRule="auto" w:line="235" w:before="0" w:after="0"/>
              <w:ind w:hanging="170" w:left="221" w:right="95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wskazuje pokarmy zawierające te składniki</w:t>
            </w:r>
          </w:p>
          <w:p>
            <w:pPr>
              <w:pStyle w:val="TableParagraph"/>
              <w:widowControl w:val="false"/>
              <w:numPr>
                <w:ilvl w:val="0"/>
                <w:numId w:val="60"/>
              </w:numPr>
              <w:tabs>
                <w:tab w:val="clear" w:pos="720"/>
                <w:tab w:val="left" w:pos="222" w:leader="none"/>
              </w:tabs>
              <w:spacing w:lineRule="auto" w:line="235" w:before="0" w:after="0"/>
              <w:ind w:hanging="170" w:left="221" w:right="361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wskazuje rolę tłuszczów w organizmie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222" w:leader="none"/>
              </w:tabs>
              <w:spacing w:lineRule="auto" w:line="235" w:before="59" w:after="0"/>
              <w:ind w:hanging="0" w:left="221" w:right="95"/>
              <w:contextualSpacing/>
              <w:jc w:val="left"/>
              <w:rPr>
                <w:sz w:val="17"/>
              </w:rPr>
            </w:pPr>
            <w:r>
              <w:rPr>
                <w:sz w:val="17"/>
              </w:rPr>
            </w:r>
          </w:p>
        </w:tc>
        <w:tc>
          <w:tcPr>
            <w:tcW w:w="2268" w:type="dxa"/>
            <w:tcBorders>
              <w:top w:val="single" w:sz="8" w:space="0" w:color="FDB515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61"/>
              </w:numPr>
              <w:tabs>
                <w:tab w:val="clear" w:pos="720"/>
                <w:tab w:val="left" w:pos="222" w:leader="none"/>
              </w:tabs>
              <w:spacing w:lineRule="auto" w:line="230" w:before="65" w:after="0"/>
              <w:ind w:hanging="170" w:left="221" w:right="380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wyjaśnia znaczenie składników odżywczych dla organizmu</w:t>
            </w:r>
          </w:p>
          <w:p>
            <w:pPr>
              <w:pStyle w:val="TableParagraph"/>
              <w:widowControl w:val="false"/>
              <w:numPr>
                <w:ilvl w:val="0"/>
                <w:numId w:val="61"/>
              </w:numPr>
              <w:tabs>
                <w:tab w:val="clear" w:pos="720"/>
                <w:tab w:val="left" w:pos="222" w:leader="none"/>
              </w:tabs>
              <w:spacing w:lineRule="auto" w:line="230" w:before="0" w:after="0"/>
              <w:ind w:hanging="170" w:left="221" w:right="294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określa znaczenie błonnika w prawidłowym funkcjonowaniu układu pokarmowego</w:t>
            </w:r>
          </w:p>
          <w:p>
            <w:pPr>
              <w:pStyle w:val="TableParagraph"/>
              <w:widowControl w:val="false"/>
              <w:numPr>
                <w:ilvl w:val="0"/>
                <w:numId w:val="61"/>
              </w:numPr>
              <w:tabs>
                <w:tab w:val="clear" w:pos="720"/>
                <w:tab w:val="left" w:pos="222" w:leader="none"/>
              </w:tabs>
              <w:spacing w:lineRule="auto" w:line="230" w:before="0" w:after="0"/>
              <w:ind w:hanging="170" w:left="221" w:right="497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uzasadnia konieczność systematycznego spożywania owoców</w:t>
            </w:r>
          </w:p>
          <w:p>
            <w:pPr>
              <w:pStyle w:val="TableParagraph"/>
              <w:widowControl w:val="false"/>
              <w:spacing w:lineRule="exact" w:line="196" w:before="0" w:after="0"/>
              <w:ind w:hanging="0" w:left="221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i warzyw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222" w:leader="none"/>
              </w:tabs>
              <w:spacing w:lineRule="auto" w:line="230" w:before="4" w:after="0"/>
              <w:ind w:hanging="0" w:left="221" w:right="51"/>
              <w:contextualSpacing/>
              <w:jc w:val="left"/>
              <w:rPr>
                <w:sz w:val="17"/>
              </w:rPr>
            </w:pPr>
            <w:r>
              <w:rPr>
                <w:sz w:val="17"/>
              </w:rPr>
            </w:r>
          </w:p>
        </w:tc>
        <w:tc>
          <w:tcPr>
            <w:tcW w:w="2271" w:type="dxa"/>
            <w:tcBorders>
              <w:top w:val="single" w:sz="8" w:space="0" w:color="FDB515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62"/>
              </w:numPr>
              <w:tabs>
                <w:tab w:val="clear" w:pos="720"/>
                <w:tab w:val="left" w:pos="222" w:leader="none"/>
              </w:tabs>
              <w:spacing w:lineRule="auto" w:line="235" w:before="59" w:after="0"/>
              <w:ind w:hanging="170" w:left="221" w:right="261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ilustruje na przykładach źródła składników odżywczych i wyjaśnia ich znaczenie dla organizmu</w:t>
            </w:r>
          </w:p>
          <w:p>
            <w:pPr>
              <w:pStyle w:val="TableParagraph"/>
              <w:widowControl w:val="false"/>
              <w:numPr>
                <w:ilvl w:val="0"/>
                <w:numId w:val="62"/>
              </w:numPr>
              <w:tabs>
                <w:tab w:val="clear" w:pos="720"/>
                <w:tab w:val="left" w:pos="222" w:leader="none"/>
              </w:tabs>
              <w:spacing w:lineRule="auto" w:line="235" w:before="0" w:after="0"/>
              <w:ind w:hanging="170" w:left="221" w:right="155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wyjaśnia związek między spożywaniem produktów białkowych a prawidłowym wzrostem ciała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222" w:leader="none"/>
              </w:tabs>
              <w:spacing w:lineRule="auto" w:line="235" w:before="59" w:after="0"/>
              <w:ind w:hanging="0" w:left="221" w:right="95"/>
              <w:contextualSpacing/>
              <w:jc w:val="left"/>
              <w:rPr>
                <w:sz w:val="17"/>
              </w:rPr>
            </w:pPr>
            <w:r>
              <w:rPr>
                <w:sz w:val="17"/>
              </w:rPr>
            </w:r>
          </w:p>
        </w:tc>
        <w:tc>
          <w:tcPr>
            <w:tcW w:w="1758" w:type="dxa"/>
            <w:tcBorders>
              <w:top w:val="single" w:sz="8" w:space="0" w:color="FDB515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63"/>
              </w:numPr>
              <w:tabs>
                <w:tab w:val="clear" w:pos="720"/>
                <w:tab w:val="left" w:pos="222" w:leader="none"/>
              </w:tabs>
              <w:spacing w:lineRule="auto" w:line="235" w:before="61" w:after="0"/>
              <w:ind w:hanging="170" w:left="221" w:right="277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analizuje zależność między rodzajami spożywanych pokarmów a funkcjonowaniem organizmu</w:t>
            </w:r>
          </w:p>
          <w:p>
            <w:pPr>
              <w:pStyle w:val="TableParagraph"/>
              <w:widowControl w:val="false"/>
              <w:numPr>
                <w:ilvl w:val="0"/>
                <w:numId w:val="63"/>
              </w:numPr>
              <w:tabs>
                <w:tab w:val="clear" w:pos="720"/>
                <w:tab w:val="left" w:pos="222" w:leader="none"/>
              </w:tabs>
              <w:spacing w:lineRule="auto" w:line="235" w:before="61" w:after="0"/>
              <w:ind w:hanging="170" w:left="221" w:right="419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wyszukuje informacje dotyczące roli błonnika w prawidłowym</w:t>
            </w:r>
          </w:p>
          <w:p>
            <w:pPr>
              <w:pStyle w:val="TableParagraph"/>
              <w:widowControl w:val="false"/>
              <w:spacing w:lineRule="auto" w:line="235" w:before="0" w:after="0"/>
              <w:ind w:hanging="0" w:left="221" w:right="192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funkcjonowaniu przewodu pokarmowego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222" w:leader="none"/>
              </w:tabs>
              <w:spacing w:lineRule="auto" w:line="235" w:before="0" w:after="0"/>
              <w:ind w:hanging="0" w:left="221" w:right="325"/>
              <w:contextualSpacing/>
              <w:jc w:val="left"/>
              <w:rPr>
                <w:sz w:val="17"/>
              </w:rPr>
            </w:pPr>
            <w:r>
              <w:rPr>
                <w:sz w:val="17"/>
              </w:rPr>
            </w:r>
          </w:p>
        </w:tc>
      </w:tr>
      <w:tr>
        <w:trPr>
          <w:trHeight w:val="2218" w:hRule="atLeast"/>
        </w:trPr>
        <w:tc>
          <w:tcPr>
            <w:tcW w:w="976" w:type="dxa"/>
            <w:vMerge w:val="continue"/>
            <w:tcBorders>
              <w:left w:val="single" w:sz="6" w:space="0" w:color="BCBEC0"/>
              <w:bottom w:val="single" w:sz="4" w:space="0" w:color="BCBEC0"/>
              <w:right w:val="single" w:sz="6" w:space="0" w:color="BCBEC0"/>
            </w:tcBorders>
            <w:shd w:color="auto" w:fill="auto" w:val="clear"/>
            <w:textDirection w:val="btLr"/>
          </w:tcPr>
          <w:p>
            <w:pPr>
              <w:pStyle w:val="Normal"/>
              <w:widowControl w:val="false"/>
              <w:spacing w:before="0" w:after="0"/>
              <w:contextualSpacing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981" w:type="dxa"/>
            <w:tcBorders>
              <w:top w:val="single" w:sz="4" w:space="0" w:color="BCBEC0"/>
              <w:left w:val="single" w:sz="6" w:space="0" w:color="BCBEC0"/>
              <w:bottom w:val="single" w:sz="6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pacing w:lineRule="auto" w:line="235" w:before="59" w:after="0"/>
              <w:ind w:hanging="258" w:left="306" w:right="297"/>
              <w:contextualSpacing/>
              <w:jc w:val="left"/>
              <w:rPr>
                <w:b/>
                <w:sz w:val="17"/>
              </w:rPr>
            </w:pPr>
            <w:r>
              <w:rPr>
                <w:b/>
                <w:kern w:val="0"/>
                <w:sz w:val="17"/>
                <w:szCs w:val="22"/>
                <w:lang w:eastAsia="en-US" w:bidi="ar-SA"/>
              </w:rPr>
              <w:t>11. Witaminy, sole mineralne, woda</w:t>
            </w:r>
          </w:p>
        </w:tc>
        <w:tc>
          <w:tcPr>
            <w:tcW w:w="2605" w:type="dxa"/>
            <w:tcBorders>
              <w:top w:val="single" w:sz="4" w:space="0" w:color="BCBEC0"/>
              <w:left w:val="single" w:sz="4" w:space="0" w:color="BCBEC0"/>
              <w:bottom w:val="single" w:sz="6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64"/>
              </w:numPr>
              <w:tabs>
                <w:tab w:val="clear" w:pos="720"/>
                <w:tab w:val="left" w:pos="222" w:leader="none"/>
              </w:tabs>
              <w:spacing w:lineRule="auto" w:line="235" w:before="59" w:after="0"/>
              <w:ind w:hanging="170" w:left="221" w:right="89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wymienia przykłady witamin rozpuszczalnych w wodzie i w tłuszczach</w:t>
            </w:r>
          </w:p>
          <w:p>
            <w:pPr>
              <w:pStyle w:val="TableParagraph"/>
              <w:widowControl w:val="false"/>
              <w:numPr>
                <w:ilvl w:val="0"/>
                <w:numId w:val="64"/>
              </w:numPr>
              <w:tabs>
                <w:tab w:val="clear" w:pos="720"/>
                <w:tab w:val="left" w:pos="222" w:leader="none"/>
              </w:tabs>
              <w:spacing w:lineRule="auto" w:line="235" w:before="2" w:after="0"/>
              <w:ind w:hanging="170" w:left="221" w:right="556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wskazuje wodę jako ważny składnik organizmu</w:t>
            </w:r>
          </w:p>
        </w:tc>
        <w:tc>
          <w:tcPr>
            <w:tcW w:w="2271" w:type="dxa"/>
            <w:tcBorders>
              <w:top w:val="single" w:sz="4" w:space="0" w:color="BCBEC0"/>
              <w:left w:val="single" w:sz="4" w:space="0" w:color="BCBEC0"/>
              <w:bottom w:val="single" w:sz="6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65"/>
              </w:numPr>
              <w:tabs>
                <w:tab w:val="clear" w:pos="720"/>
                <w:tab w:val="left" w:pos="222" w:leader="none"/>
              </w:tabs>
              <w:spacing w:lineRule="auto" w:line="235" w:before="59" w:after="0"/>
              <w:ind w:hanging="170" w:left="221" w:right="353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wymienia wszystkie  witaminy rozpuszczalne w wodzie i w tłuszczach</w:t>
            </w:r>
          </w:p>
          <w:p>
            <w:pPr>
              <w:pStyle w:val="TableParagraph"/>
              <w:widowControl w:val="false"/>
              <w:numPr>
                <w:ilvl w:val="0"/>
                <w:numId w:val="65"/>
              </w:numPr>
              <w:tabs>
                <w:tab w:val="clear" w:pos="720"/>
                <w:tab w:val="left" w:pos="222" w:leader="none"/>
              </w:tabs>
              <w:spacing w:lineRule="auto" w:line="235" w:before="0" w:after="0"/>
              <w:ind w:hanging="170" w:left="221" w:right="770"/>
              <w:contextualSpacing/>
              <w:jc w:val="both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omawia znaczenie makroelementów i mikroelementów w organizmie człowieka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222" w:leader="none"/>
              </w:tabs>
              <w:spacing w:lineRule="auto" w:line="235" w:before="2" w:after="0"/>
              <w:ind w:hanging="0" w:left="221" w:right="315"/>
              <w:contextualSpacing/>
              <w:jc w:val="left"/>
              <w:rPr>
                <w:sz w:val="17"/>
              </w:rPr>
            </w:pPr>
            <w:r>
              <w:rPr>
                <w:sz w:val="17"/>
              </w:rPr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6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66"/>
              </w:numPr>
              <w:tabs>
                <w:tab w:val="clear" w:pos="720"/>
                <w:tab w:val="left" w:pos="221" w:leader="none"/>
              </w:tabs>
              <w:spacing w:lineRule="auto" w:line="235" w:before="59" w:after="0"/>
              <w:ind w:hanging="170" w:left="220" w:right="472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charakteryzuje rodzaje witamin</w:t>
            </w:r>
          </w:p>
          <w:p>
            <w:pPr>
              <w:pStyle w:val="TableParagraph"/>
              <w:widowControl w:val="false"/>
              <w:numPr>
                <w:ilvl w:val="0"/>
                <w:numId w:val="66"/>
              </w:numPr>
              <w:tabs>
                <w:tab w:val="clear" w:pos="720"/>
                <w:tab w:val="left" w:pos="222" w:leader="none"/>
              </w:tabs>
              <w:spacing w:lineRule="exact" w:line="176" w:before="0" w:after="0"/>
              <w:ind w:hanging="170" w:left="221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przedstawia rolę makroelementów: Mg, Fe, Ca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222" w:leader="none"/>
              </w:tabs>
              <w:spacing w:lineRule="auto" w:line="235" w:before="3" w:after="0"/>
              <w:ind w:hanging="0" w:left="221" w:right="112"/>
              <w:contextualSpacing/>
              <w:jc w:val="left"/>
              <w:rPr>
                <w:sz w:val="17"/>
              </w:rPr>
            </w:pPr>
            <w:r>
              <w:rPr>
                <w:sz w:val="17"/>
              </w:rPr>
            </w:r>
          </w:p>
        </w:tc>
        <w:tc>
          <w:tcPr>
            <w:tcW w:w="2271" w:type="dxa"/>
            <w:tcBorders>
              <w:top w:val="single" w:sz="4" w:space="0" w:color="BCBEC0"/>
              <w:left w:val="single" w:sz="4" w:space="0" w:color="BCBEC0"/>
              <w:bottom w:val="single" w:sz="6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67"/>
              </w:numPr>
              <w:tabs>
                <w:tab w:val="clear" w:pos="720"/>
                <w:tab w:val="left" w:pos="222" w:leader="none"/>
              </w:tabs>
              <w:spacing w:lineRule="auto" w:line="235" w:before="3" w:after="0"/>
              <w:ind w:hanging="170" w:left="221" w:right="70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przewiduje skutki niedoboru wody w organizmie</w:t>
            </w:r>
          </w:p>
          <w:p>
            <w:pPr>
              <w:pStyle w:val="TableParagraph"/>
              <w:widowControl w:val="false"/>
              <w:numPr>
                <w:ilvl w:val="0"/>
                <w:numId w:val="61"/>
              </w:numPr>
              <w:tabs>
                <w:tab w:val="clear" w:pos="720"/>
                <w:tab w:val="left" w:pos="222" w:leader="none"/>
              </w:tabs>
              <w:spacing w:lineRule="auto" w:line="230" w:before="4" w:after="0"/>
              <w:ind w:hanging="170" w:left="221" w:right="51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przedstawia rolę mikro- i makroelementów</w:t>
            </w:r>
          </w:p>
          <w:p>
            <w:pPr>
              <w:pStyle w:val="TableParagraph"/>
              <w:widowControl w:val="false"/>
              <w:numPr>
                <w:ilvl w:val="0"/>
                <w:numId w:val="62"/>
              </w:numPr>
              <w:tabs>
                <w:tab w:val="clear" w:pos="720"/>
                <w:tab w:val="left" w:pos="222" w:leader="none"/>
              </w:tabs>
              <w:spacing w:lineRule="auto" w:line="235" w:before="0" w:after="0"/>
              <w:ind w:hanging="170" w:left="221" w:right="130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porównuje wartość energetyczną węglowodanów i tłuszczów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222" w:leader="none"/>
              </w:tabs>
              <w:spacing w:lineRule="auto" w:line="230" w:before="4" w:after="0"/>
              <w:ind w:hanging="0" w:left="221" w:right="51"/>
              <w:contextualSpacing/>
              <w:jc w:val="left"/>
              <w:rPr>
                <w:sz w:val="17"/>
              </w:rPr>
            </w:pPr>
            <w:r>
              <w:rPr>
                <w:sz w:val="17"/>
              </w:rPr>
            </w:r>
          </w:p>
        </w:tc>
        <w:tc>
          <w:tcPr>
            <w:tcW w:w="1758" w:type="dxa"/>
            <w:tcBorders>
              <w:top w:val="single" w:sz="4" w:space="0" w:color="BCBEC0"/>
              <w:left w:val="single" w:sz="4" w:space="0" w:color="BCBEC0"/>
              <w:bottom w:val="single" w:sz="6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62"/>
              </w:numPr>
              <w:tabs>
                <w:tab w:val="clear" w:pos="720"/>
                <w:tab w:val="left" w:pos="222" w:leader="none"/>
              </w:tabs>
              <w:spacing w:lineRule="auto" w:line="235" w:before="0" w:after="0"/>
              <w:ind w:hanging="170" w:left="221" w:right="75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wyjaśnia skutki nadmiernego spożywania tłuszczów</w:t>
            </w:r>
          </w:p>
          <w:p>
            <w:pPr>
              <w:pStyle w:val="TableParagraph"/>
              <w:widowControl w:val="false"/>
              <w:numPr>
                <w:ilvl w:val="0"/>
                <w:numId w:val="61"/>
              </w:numPr>
              <w:tabs>
                <w:tab w:val="clear" w:pos="720"/>
                <w:tab w:val="left" w:pos="222" w:leader="none"/>
              </w:tabs>
              <w:spacing w:lineRule="auto" w:line="230" w:before="4" w:after="0"/>
              <w:ind w:hanging="170" w:left="221" w:right="51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analizuje etykiety produktów spożywczych pod kątem zawartości różnych składników odżywczych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222" w:leader="none"/>
              </w:tabs>
              <w:spacing w:lineRule="auto" w:line="235" w:before="0" w:after="0"/>
              <w:ind w:hanging="0" w:left="221" w:right="384"/>
              <w:contextualSpacing/>
              <w:jc w:val="left"/>
              <w:rPr>
                <w:sz w:val="17"/>
              </w:rPr>
            </w:pPr>
            <w:r>
              <w:rPr>
                <w:sz w:val="17"/>
              </w:rPr>
            </w:r>
          </w:p>
        </w:tc>
      </w:tr>
    </w:tbl>
    <w:p>
      <w:pPr>
        <w:sectPr>
          <w:footerReference w:type="even" r:id="rId11"/>
          <w:footerReference w:type="default" r:id="rId12"/>
          <w:footerReference w:type="first" r:id="rId13"/>
          <w:type w:val="nextPage"/>
          <w:pgSz w:orient="landscape" w:w="15600" w:h="11630"/>
          <w:pgMar w:left="720" w:right="720" w:gutter="0" w:header="0" w:top="720" w:footer="708" w:bottom="765"/>
          <w:pgNumType w:fmt="decimal"/>
          <w:formProt w:val="false"/>
          <w:textDirection w:val="lrTb"/>
          <w:docGrid w:type="default" w:linePitch="299" w:charSpace="0"/>
        </w:sectPr>
      </w:pPr>
    </w:p>
    <w:tbl>
      <w:tblPr>
        <w:tblStyle w:val="TableNormal"/>
        <w:tblW w:w="13749" w:type="dxa"/>
        <w:jc w:val="left"/>
        <w:tblInd w:w="110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 w:firstRow="1" w:noVBand="0" w:lastRow="1" w:firstColumn="1" w:lastColumn="1" w:noHBand="0"/>
      </w:tblPr>
      <w:tblGrid>
        <w:gridCol w:w="624"/>
        <w:gridCol w:w="1823"/>
        <w:gridCol w:w="2226"/>
        <w:gridCol w:w="2268"/>
        <w:gridCol w:w="2268"/>
        <w:gridCol w:w="2268"/>
        <w:gridCol w:w="2272"/>
      </w:tblGrid>
      <w:tr>
        <w:trPr>
          <w:trHeight w:val="400" w:hRule="atLeast"/>
        </w:trPr>
        <w:tc>
          <w:tcPr>
            <w:tcW w:w="624" w:type="dxa"/>
            <w:vMerge w:val="restart"/>
            <w:tcBorders>
              <w:top w:val="single" w:sz="4" w:space="0" w:color="BCBEC0"/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pacing w:before="5" w:after="0"/>
              <w:ind w:hanging="0" w:left="0"/>
              <w:contextualSpacing/>
              <w:jc w:val="left"/>
              <w:rPr>
                <w:rFonts w:ascii="Humanst521EU" w:hAnsi="Humanst521EU"/>
                <w:b/>
                <w:sz w:val="24"/>
              </w:rPr>
            </w:pPr>
            <w:r>
              <w:rPr>
                <w:rFonts w:ascii="Humanst521EU" w:hAnsi="Humanst521EU"/>
                <w:b/>
                <w:sz w:val="24"/>
              </w:rPr>
            </w:r>
          </w:p>
          <w:p>
            <w:pPr>
              <w:pStyle w:val="TableParagraph"/>
              <w:widowControl w:val="false"/>
              <w:spacing w:before="0" w:after="0"/>
              <w:ind w:hanging="0" w:left="109"/>
              <w:contextualSpacing/>
              <w:jc w:val="left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Dział</w:t>
            </w:r>
          </w:p>
        </w:tc>
        <w:tc>
          <w:tcPr>
            <w:tcW w:w="1823" w:type="dxa"/>
            <w:vMerge w:val="restart"/>
            <w:tcBorders>
              <w:top w:val="single" w:sz="4" w:space="0" w:color="BCBEC0"/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pacing w:before="5" w:after="0"/>
              <w:ind w:hanging="0" w:left="0"/>
              <w:contextualSpacing/>
              <w:jc w:val="left"/>
              <w:rPr>
                <w:rFonts w:ascii="Humanst521EU" w:hAnsi="Humanst521EU"/>
                <w:b/>
                <w:sz w:val="24"/>
              </w:rPr>
            </w:pPr>
            <w:r>
              <w:rPr>
                <w:rFonts w:ascii="Humanst521EU" w:hAnsi="Humanst521EU"/>
                <w:b/>
                <w:sz w:val="24"/>
              </w:rPr>
            </w:r>
          </w:p>
          <w:p>
            <w:pPr>
              <w:pStyle w:val="TableParagraph"/>
              <w:widowControl w:val="false"/>
              <w:spacing w:before="0" w:after="0"/>
              <w:ind w:hanging="0" w:left="613" w:right="613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Temat</w:t>
            </w:r>
          </w:p>
        </w:tc>
        <w:tc>
          <w:tcPr>
            <w:tcW w:w="11302" w:type="dxa"/>
            <w:gridSpan w:val="5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pacing w:before="92" w:after="0"/>
              <w:ind w:hanging="0" w:left="4975" w:right="4975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Poziom wymagań</w:t>
            </w:r>
          </w:p>
        </w:tc>
      </w:tr>
      <w:tr>
        <w:trPr>
          <w:trHeight w:val="380" w:hRule="atLeast"/>
        </w:trPr>
        <w:tc>
          <w:tcPr>
            <w:tcW w:w="624" w:type="dxa"/>
            <w:vMerge w:val="continue"/>
            <w:tcBorders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contextualSpacing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823" w:type="dxa"/>
            <w:vMerge w:val="continue"/>
            <w:tcBorders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contextualSpacing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226" w:type="dxa"/>
            <w:tcBorders>
              <w:top w:val="single" w:sz="4" w:space="0" w:color="BCBEC0"/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pacing w:before="87" w:after="0"/>
              <w:ind w:hanging="0" w:left="334"/>
              <w:contextualSpacing/>
              <w:jc w:val="left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ocena dopuszczająca</w:t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pacing w:before="87" w:after="0"/>
              <w:ind w:hanging="0" w:left="418"/>
              <w:contextualSpacing/>
              <w:jc w:val="left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ocena dostateczna</w:t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pacing w:before="87" w:after="0"/>
              <w:ind w:hanging="0" w:left="656"/>
              <w:contextualSpacing/>
              <w:jc w:val="left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ocena dobra</w:t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pacing w:before="87" w:after="0"/>
              <w:ind w:hanging="0" w:left="365"/>
              <w:contextualSpacing/>
              <w:jc w:val="left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ocena bardzo dobra</w:t>
            </w:r>
          </w:p>
        </w:tc>
        <w:tc>
          <w:tcPr>
            <w:tcW w:w="2272" w:type="dxa"/>
            <w:tcBorders>
              <w:top w:val="single" w:sz="4" w:space="0" w:color="BCBEC0"/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pacing w:before="87" w:after="0"/>
              <w:ind w:hanging="0" w:left="576"/>
              <w:contextualSpacing/>
              <w:jc w:val="left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ocena celująca</w:t>
            </w:r>
          </w:p>
        </w:tc>
      </w:tr>
      <w:tr>
        <w:trPr>
          <w:trHeight w:val="2443" w:hRule="atLeast"/>
        </w:trPr>
        <w:tc>
          <w:tcPr>
            <w:tcW w:w="624" w:type="dxa"/>
            <w:vMerge w:val="restart"/>
            <w:tcBorders>
              <w:top w:val="single" w:sz="8" w:space="0" w:color="FDB515"/>
              <w:left w:val="single" w:sz="6" w:space="0" w:color="BCBEC0"/>
              <w:bottom w:val="single" w:sz="4" w:space="0" w:color="BCBEC0"/>
              <w:right w:val="single" w:sz="6" w:space="0" w:color="BCBEC0"/>
            </w:tcBorders>
            <w:shd w:color="auto" w:fill="auto" w:val="clear"/>
            <w:textDirection w:val="btLr"/>
          </w:tcPr>
          <w:p>
            <w:pPr>
              <w:pStyle w:val="TableParagraph"/>
              <w:widowControl w:val="false"/>
              <w:spacing w:before="9" w:after="0"/>
              <w:ind w:hanging="0" w:left="0"/>
              <w:contextualSpacing/>
              <w:jc w:val="left"/>
              <w:rPr>
                <w:rFonts w:ascii="Humanst521EU" w:hAnsi="Humanst521EU"/>
                <w:b/>
                <w:sz w:val="15"/>
              </w:rPr>
            </w:pPr>
            <w:r>
              <w:rPr>
                <w:rFonts w:ascii="Humanst521EU" w:hAnsi="Humanst521EU"/>
                <w:b/>
                <w:sz w:val="15"/>
              </w:rPr>
            </w:r>
          </w:p>
          <w:p>
            <w:pPr>
              <w:pStyle w:val="TableParagraph"/>
              <w:widowControl w:val="false"/>
              <w:spacing w:before="1" w:after="0"/>
              <w:ind w:hanging="0" w:left="3652"/>
              <w:contextualSpacing/>
              <w:jc w:val="left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I</w:t>
            </w:r>
            <w:r>
              <w:rPr>
                <w:rFonts w:ascii="Humanst521EU" w:hAnsi="Humanst521EU"/>
                <w:b/>
                <w:spacing w:val="-23"/>
                <w:kern w:val="0"/>
                <w:sz w:val="17"/>
                <w:szCs w:val="22"/>
                <w:lang w:eastAsia="en-US" w:bidi="ar-SA"/>
              </w:rPr>
              <w:t>II</w:t>
            </w: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. Układ pokarmowy</w:t>
            </w:r>
          </w:p>
        </w:tc>
        <w:tc>
          <w:tcPr>
            <w:tcW w:w="1823" w:type="dxa"/>
            <w:tcBorders>
              <w:top w:val="single" w:sz="8" w:space="0" w:color="FDB515"/>
              <w:left w:val="single" w:sz="6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pacing w:lineRule="auto" w:line="235" w:before="61" w:after="0"/>
              <w:ind w:hanging="258" w:left="306" w:right="441"/>
              <w:contextualSpacing/>
              <w:jc w:val="left"/>
              <w:rPr>
                <w:b/>
                <w:sz w:val="17"/>
              </w:rPr>
            </w:pPr>
            <w:r>
              <w:rPr>
                <w:b/>
                <w:kern w:val="0"/>
                <w:sz w:val="17"/>
                <w:szCs w:val="22"/>
                <w:lang w:eastAsia="en-US" w:bidi="ar-SA"/>
              </w:rPr>
              <w:t>12. Budowa i rola układu pokarmowego</w:t>
            </w:r>
          </w:p>
        </w:tc>
        <w:tc>
          <w:tcPr>
            <w:tcW w:w="2226" w:type="dxa"/>
            <w:tcBorders>
              <w:top w:val="single" w:sz="8" w:space="0" w:color="FDB515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68"/>
              </w:numPr>
              <w:tabs>
                <w:tab w:val="clear" w:pos="720"/>
                <w:tab w:val="left" w:pos="222" w:leader="none"/>
              </w:tabs>
              <w:spacing w:lineRule="auto" w:line="235" w:before="61" w:after="0"/>
              <w:ind w:hanging="170" w:left="221" w:right="325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wyjaśnia, na czym polega trawienie pokarmów</w:t>
            </w:r>
          </w:p>
          <w:p>
            <w:pPr>
              <w:pStyle w:val="TableParagraph"/>
              <w:widowControl w:val="false"/>
              <w:numPr>
                <w:ilvl w:val="0"/>
                <w:numId w:val="68"/>
              </w:numPr>
              <w:tabs>
                <w:tab w:val="clear" w:pos="720"/>
                <w:tab w:val="left" w:pos="222" w:leader="none"/>
              </w:tabs>
              <w:spacing w:lineRule="auto" w:line="235" w:before="0" w:after="0"/>
              <w:ind w:hanging="170" w:left="221" w:right="323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nazywa rodzaje zębów u człowieka</w:t>
            </w:r>
          </w:p>
          <w:p>
            <w:pPr>
              <w:pStyle w:val="TableParagraph"/>
              <w:widowControl w:val="false"/>
              <w:numPr>
                <w:ilvl w:val="0"/>
                <w:numId w:val="68"/>
              </w:numPr>
              <w:tabs>
                <w:tab w:val="clear" w:pos="720"/>
                <w:tab w:val="left" w:pos="222" w:leader="none"/>
              </w:tabs>
              <w:spacing w:lineRule="auto" w:line="235" w:before="0" w:after="0"/>
              <w:ind w:hanging="170" w:left="221" w:right="105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wymienia odcinki przewodu pokarmowego człowieka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222" w:leader="none"/>
              </w:tabs>
              <w:spacing w:lineRule="auto" w:line="235" w:before="0" w:after="0"/>
              <w:ind w:hanging="0" w:left="51" w:right="125"/>
              <w:contextualSpacing/>
              <w:jc w:val="left"/>
              <w:rPr>
                <w:sz w:val="17"/>
              </w:rPr>
            </w:pPr>
            <w:r>
              <w:rPr>
                <w:sz w:val="17"/>
              </w:rPr>
            </w:r>
          </w:p>
        </w:tc>
        <w:tc>
          <w:tcPr>
            <w:tcW w:w="2268" w:type="dxa"/>
            <w:tcBorders>
              <w:top w:val="single" w:sz="8" w:space="0" w:color="FDB515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69"/>
              </w:numPr>
              <w:tabs>
                <w:tab w:val="clear" w:pos="720"/>
                <w:tab w:val="left" w:pos="222" w:leader="none"/>
              </w:tabs>
              <w:spacing w:lineRule="auto" w:line="235" w:before="61" w:after="0"/>
              <w:ind w:hanging="170" w:left="221" w:right="118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opisuje rolę poszczególnych rodzajów zębów</w:t>
            </w:r>
          </w:p>
          <w:p>
            <w:pPr>
              <w:pStyle w:val="TableParagraph"/>
              <w:widowControl w:val="false"/>
              <w:numPr>
                <w:ilvl w:val="0"/>
                <w:numId w:val="69"/>
              </w:numPr>
              <w:tabs>
                <w:tab w:val="clear" w:pos="720"/>
                <w:tab w:val="left" w:pos="222" w:leader="none"/>
              </w:tabs>
              <w:spacing w:lineRule="auto" w:line="235" w:before="0" w:after="0"/>
              <w:ind w:hanging="170" w:left="221" w:right="130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wskazuje odcinki przewodu pokarmowego na planszy lub modelu</w:t>
            </w:r>
          </w:p>
          <w:p>
            <w:pPr>
              <w:pStyle w:val="TableParagraph"/>
              <w:widowControl w:val="false"/>
              <w:numPr>
                <w:ilvl w:val="0"/>
                <w:numId w:val="69"/>
              </w:numPr>
              <w:tabs>
                <w:tab w:val="clear" w:pos="720"/>
                <w:tab w:val="left" w:pos="222" w:leader="none"/>
              </w:tabs>
              <w:spacing w:lineRule="exact" w:line="202" w:before="0" w:after="0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rozpoznaje wątrobę i trzustkę na schemacie</w:t>
            </w:r>
          </w:p>
          <w:p>
            <w:pPr>
              <w:pStyle w:val="TableParagraph"/>
              <w:widowControl w:val="false"/>
              <w:numPr>
                <w:ilvl w:val="0"/>
                <w:numId w:val="69"/>
              </w:numPr>
              <w:tabs>
                <w:tab w:val="clear" w:pos="720"/>
                <w:tab w:val="left" w:pos="222" w:leader="none"/>
              </w:tabs>
              <w:spacing w:lineRule="auto" w:line="235" w:before="2" w:after="0"/>
              <w:ind w:hanging="170" w:left="221" w:right="68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lokalizuje położenie wątroby i trzustki we własnym ciele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222" w:leader="none"/>
              </w:tabs>
              <w:spacing w:lineRule="auto" w:line="235" w:before="0" w:after="0"/>
              <w:ind w:hanging="0" w:left="221" w:right="71"/>
              <w:contextualSpacing/>
              <w:jc w:val="left"/>
              <w:rPr>
                <w:sz w:val="17"/>
              </w:rPr>
            </w:pPr>
            <w:r>
              <w:rPr>
                <w:sz w:val="17"/>
              </w:rPr>
            </w:r>
          </w:p>
        </w:tc>
        <w:tc>
          <w:tcPr>
            <w:tcW w:w="2268" w:type="dxa"/>
            <w:tcBorders>
              <w:top w:val="single" w:sz="8" w:space="0" w:color="FDB515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70"/>
              </w:numPr>
              <w:tabs>
                <w:tab w:val="clear" w:pos="720"/>
                <w:tab w:val="left" w:pos="222" w:leader="none"/>
              </w:tabs>
              <w:spacing w:lineRule="auto" w:line="235" w:before="61" w:after="0"/>
              <w:ind w:hanging="170" w:left="221" w:right="291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rozpoznaje poszczególne rodzaje zębów człowieka</w:t>
            </w:r>
          </w:p>
          <w:p>
            <w:pPr>
              <w:pStyle w:val="TableParagraph"/>
              <w:widowControl w:val="false"/>
              <w:numPr>
                <w:ilvl w:val="0"/>
                <w:numId w:val="70"/>
              </w:numPr>
              <w:tabs>
                <w:tab w:val="clear" w:pos="720"/>
                <w:tab w:val="left" w:pos="222" w:leader="none"/>
              </w:tabs>
              <w:spacing w:lineRule="auto" w:line="235" w:before="1" w:after="0"/>
              <w:ind w:hanging="170" w:left="221" w:right="122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lokalizuje odcinki przewodu pokarmowego i wskazuje odpowiednie miejsca na powierzchni swojego ciała</w:t>
            </w:r>
          </w:p>
          <w:p>
            <w:pPr>
              <w:pStyle w:val="TableParagraph"/>
              <w:widowControl w:val="false"/>
              <w:numPr>
                <w:ilvl w:val="0"/>
                <w:numId w:val="70"/>
              </w:numPr>
              <w:tabs>
                <w:tab w:val="clear" w:pos="720"/>
                <w:tab w:val="left" w:pos="222" w:leader="none"/>
              </w:tabs>
              <w:spacing w:lineRule="auto" w:line="235" w:before="1" w:after="0"/>
              <w:ind w:hanging="170" w:left="221" w:right="122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omawia  budowę i funkcje gruczołów trawiennych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222" w:leader="none"/>
              </w:tabs>
              <w:spacing w:lineRule="auto" w:line="235" w:before="2" w:after="0"/>
              <w:ind w:hanging="0" w:left="221" w:right="242"/>
              <w:contextualSpacing/>
              <w:jc w:val="left"/>
              <w:rPr>
                <w:sz w:val="17"/>
              </w:rPr>
            </w:pPr>
            <w:r>
              <w:rPr>
                <w:sz w:val="17"/>
              </w:rPr>
            </w:r>
          </w:p>
        </w:tc>
        <w:tc>
          <w:tcPr>
            <w:tcW w:w="2268" w:type="dxa"/>
            <w:tcBorders>
              <w:top w:val="single" w:sz="8" w:space="0" w:color="FDB515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70"/>
              </w:numPr>
              <w:tabs>
                <w:tab w:val="clear" w:pos="720"/>
                <w:tab w:val="left" w:pos="222" w:leader="none"/>
              </w:tabs>
              <w:spacing w:lineRule="auto" w:line="235" w:before="1" w:after="0"/>
              <w:ind w:hanging="170" w:left="221" w:right="243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omawia funkcje poszczególnych odcinków przewodu pokarmowego</w:t>
            </w:r>
          </w:p>
          <w:p>
            <w:pPr>
              <w:pStyle w:val="TableParagraph"/>
              <w:widowControl w:val="false"/>
              <w:numPr>
                <w:ilvl w:val="0"/>
                <w:numId w:val="70"/>
              </w:numPr>
              <w:tabs>
                <w:tab w:val="clear" w:pos="720"/>
                <w:tab w:val="left" w:pos="222" w:leader="none"/>
              </w:tabs>
              <w:spacing w:lineRule="exact" w:line="202" w:before="0" w:after="0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wykazuje rolę zębów w mechanicznej obróbce pokarmu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222" w:leader="none"/>
              </w:tabs>
              <w:spacing w:lineRule="auto" w:line="235" w:before="0" w:after="0"/>
              <w:ind w:hanging="0" w:left="221" w:right="73"/>
              <w:contextualSpacing/>
              <w:jc w:val="left"/>
              <w:rPr>
                <w:sz w:val="17"/>
              </w:rPr>
            </w:pPr>
            <w:r>
              <w:rPr>
                <w:sz w:val="17"/>
              </w:rPr>
            </w:r>
          </w:p>
        </w:tc>
        <w:tc>
          <w:tcPr>
            <w:tcW w:w="2272" w:type="dxa"/>
            <w:tcBorders>
              <w:top w:val="single" w:sz="8" w:space="0" w:color="FDB515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71"/>
              </w:numPr>
              <w:tabs>
                <w:tab w:val="clear" w:pos="720"/>
                <w:tab w:val="left" w:pos="222" w:leader="none"/>
              </w:tabs>
              <w:spacing w:lineRule="auto" w:line="235" w:before="61" w:after="0"/>
              <w:ind w:hanging="170" w:left="221" w:right="193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omawia znaczenie procesu trawienia</w:t>
            </w:r>
          </w:p>
          <w:p>
            <w:pPr>
              <w:pStyle w:val="TableParagraph"/>
              <w:widowControl w:val="false"/>
              <w:numPr>
                <w:ilvl w:val="0"/>
                <w:numId w:val="71"/>
              </w:numPr>
              <w:tabs>
                <w:tab w:val="clear" w:pos="720"/>
                <w:tab w:val="left" w:pos="222" w:leader="none"/>
              </w:tabs>
              <w:spacing w:lineRule="auto" w:line="235" w:before="0" w:after="0"/>
              <w:ind w:hanging="170" w:left="221" w:right="607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opisuje etapy trawienia pokarmów w poszczególnych odcinkach przewodu pokarmowego</w:t>
            </w:r>
          </w:p>
          <w:p>
            <w:pPr>
              <w:pStyle w:val="TableParagraph"/>
              <w:widowControl w:val="false"/>
              <w:numPr>
                <w:ilvl w:val="0"/>
                <w:numId w:val="71"/>
              </w:numPr>
              <w:tabs>
                <w:tab w:val="clear" w:pos="720"/>
                <w:tab w:val="left" w:pos="222" w:leader="none"/>
              </w:tabs>
              <w:spacing w:lineRule="auto" w:line="235" w:before="0" w:after="0"/>
              <w:ind w:hanging="170" w:left="221" w:right="73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analizuje miejsca wchłaniania strawionego pokarmu i wody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222" w:leader="none"/>
              </w:tabs>
              <w:spacing w:lineRule="auto" w:line="235" w:before="3" w:after="0"/>
              <w:ind w:hanging="0" w:left="221" w:right="497"/>
              <w:contextualSpacing/>
              <w:jc w:val="left"/>
              <w:rPr>
                <w:sz w:val="17"/>
              </w:rPr>
            </w:pPr>
            <w:r>
              <w:rPr>
                <w:sz w:val="17"/>
              </w:rPr>
            </w:r>
          </w:p>
        </w:tc>
      </w:tr>
      <w:tr>
        <w:trPr>
          <w:trHeight w:val="2530" w:hRule="atLeast"/>
        </w:trPr>
        <w:tc>
          <w:tcPr>
            <w:tcW w:w="624" w:type="dxa"/>
            <w:vMerge w:val="continue"/>
            <w:tcBorders>
              <w:left w:val="single" w:sz="6" w:space="0" w:color="BCBEC0"/>
              <w:bottom w:val="single" w:sz="4" w:space="0" w:color="BCBEC0"/>
              <w:right w:val="single" w:sz="6" w:space="0" w:color="BCBEC0"/>
            </w:tcBorders>
            <w:shd w:color="auto" w:fill="auto" w:val="clear"/>
            <w:textDirection w:val="btLr"/>
          </w:tcPr>
          <w:p>
            <w:pPr>
              <w:pStyle w:val="Normal"/>
              <w:widowControl w:val="false"/>
              <w:spacing w:before="0" w:after="0"/>
              <w:contextualSpacing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823" w:type="dxa"/>
            <w:tcBorders>
              <w:top w:val="single" w:sz="4" w:space="0" w:color="BCBEC0"/>
              <w:left w:val="single" w:sz="6" w:space="0" w:color="BCBEC0"/>
              <w:bottom w:val="single" w:sz="6" w:space="0" w:color="BCBEC0"/>
              <w:right w:val="single" w:sz="6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pacing w:lineRule="auto" w:line="235" w:before="61" w:after="0"/>
              <w:ind w:hanging="258" w:left="306" w:right="235"/>
              <w:contextualSpacing/>
              <w:jc w:val="left"/>
              <w:rPr>
                <w:b/>
                <w:sz w:val="17"/>
              </w:rPr>
            </w:pPr>
            <w:r>
              <w:rPr>
                <w:b/>
                <w:kern w:val="0"/>
                <w:sz w:val="17"/>
                <w:szCs w:val="22"/>
                <w:lang w:eastAsia="en-US" w:bidi="ar-SA"/>
              </w:rPr>
              <w:t>13. Higiena i choroby układu pokarmowego</w:t>
            </w:r>
          </w:p>
        </w:tc>
        <w:tc>
          <w:tcPr>
            <w:tcW w:w="2226" w:type="dxa"/>
            <w:tcBorders>
              <w:top w:val="single" w:sz="4" w:space="0" w:color="BCBEC0"/>
              <w:left w:val="single" w:sz="6" w:space="0" w:color="BCBEC0"/>
              <w:bottom w:val="single" w:sz="6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72"/>
              </w:numPr>
              <w:tabs>
                <w:tab w:val="clear" w:pos="720"/>
                <w:tab w:val="left" w:pos="219" w:leader="none"/>
              </w:tabs>
              <w:spacing w:lineRule="auto" w:line="235" w:before="61" w:after="0"/>
              <w:ind w:hanging="170" w:left="218" w:right="311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określa zasady zdrowego żywienia i higieny żywności</w:t>
            </w:r>
          </w:p>
          <w:p>
            <w:pPr>
              <w:pStyle w:val="TableParagraph"/>
              <w:widowControl w:val="false"/>
              <w:numPr>
                <w:ilvl w:val="0"/>
                <w:numId w:val="72"/>
              </w:numPr>
              <w:tabs>
                <w:tab w:val="clear" w:pos="720"/>
                <w:tab w:val="left" w:pos="219" w:leader="none"/>
              </w:tabs>
              <w:spacing w:lineRule="auto" w:line="235" w:before="0" w:after="0"/>
              <w:ind w:hanging="170" w:left="218" w:right="142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wymienia przykłady chorób układu pokarmowego</w:t>
            </w:r>
          </w:p>
          <w:p>
            <w:pPr>
              <w:pStyle w:val="TableParagraph"/>
              <w:widowControl w:val="false"/>
              <w:numPr>
                <w:ilvl w:val="0"/>
                <w:numId w:val="72"/>
              </w:numPr>
              <w:tabs>
                <w:tab w:val="clear" w:pos="720"/>
                <w:tab w:val="left" w:pos="219" w:leader="none"/>
              </w:tabs>
              <w:spacing w:lineRule="auto" w:line="235" w:before="0" w:after="0"/>
              <w:ind w:hanging="170" w:left="218" w:right="237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wymienia zasady profilaktyki chorób układu pokarmowego</w:t>
            </w:r>
          </w:p>
          <w:p>
            <w:pPr>
              <w:pStyle w:val="TableParagraph"/>
              <w:widowControl w:val="false"/>
              <w:numPr>
                <w:ilvl w:val="0"/>
                <w:numId w:val="72"/>
              </w:numPr>
              <w:tabs>
                <w:tab w:val="clear" w:pos="720"/>
                <w:tab w:val="left" w:pos="219" w:leader="none"/>
              </w:tabs>
              <w:spacing w:lineRule="auto" w:line="235" w:before="0" w:after="0"/>
              <w:ind w:hanging="170" w:left="218" w:right="385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wymienia przyczyny próchnicy zębów</w:t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6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73"/>
              </w:numPr>
              <w:tabs>
                <w:tab w:val="clear" w:pos="720"/>
                <w:tab w:val="left" w:pos="222" w:leader="none"/>
              </w:tabs>
              <w:spacing w:lineRule="auto" w:line="235" w:before="61" w:after="0"/>
              <w:ind w:hanging="170" w:left="221" w:right="183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wskazuje grupy pokarmów w piramidzie zdrowego żywienia i aktywności fizycznej</w:t>
            </w:r>
          </w:p>
          <w:p>
            <w:pPr>
              <w:pStyle w:val="TableParagraph"/>
              <w:widowControl w:val="false"/>
              <w:numPr>
                <w:ilvl w:val="0"/>
                <w:numId w:val="73"/>
              </w:numPr>
              <w:tabs>
                <w:tab w:val="clear" w:pos="720"/>
                <w:tab w:val="left" w:pos="222" w:leader="none"/>
              </w:tabs>
              <w:spacing w:lineRule="auto" w:line="235" w:before="0" w:after="0"/>
              <w:ind w:hanging="170" w:left="221" w:right="128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wskazuje na zależność diety od zmiennych warunków zewnętrznych</w:t>
            </w:r>
          </w:p>
          <w:p>
            <w:pPr>
              <w:pStyle w:val="TableParagraph"/>
              <w:widowControl w:val="false"/>
              <w:numPr>
                <w:ilvl w:val="0"/>
                <w:numId w:val="73"/>
              </w:numPr>
              <w:tabs>
                <w:tab w:val="clear" w:pos="720"/>
                <w:tab w:val="left" w:pos="222" w:leader="none"/>
              </w:tabs>
              <w:spacing w:lineRule="auto" w:line="235" w:before="0" w:after="0"/>
              <w:ind w:hanging="170" w:left="221" w:right="62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układa jadłospis w zależności od zmiennych warunków zewnętrznych</w:t>
            </w:r>
          </w:p>
          <w:p>
            <w:pPr>
              <w:pStyle w:val="TableParagraph"/>
              <w:widowControl w:val="false"/>
              <w:numPr>
                <w:ilvl w:val="0"/>
                <w:numId w:val="73"/>
              </w:numPr>
              <w:tabs>
                <w:tab w:val="clear" w:pos="720"/>
                <w:tab w:val="left" w:pos="222" w:leader="none"/>
              </w:tabs>
              <w:spacing w:lineRule="auto" w:line="235" w:before="0" w:after="0"/>
              <w:ind w:hanging="170" w:left="221" w:right="275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wymienia choroby układu pokarmowego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222" w:leader="none"/>
              </w:tabs>
              <w:spacing w:lineRule="auto" w:line="235" w:before="0" w:after="0"/>
              <w:ind w:hanging="0" w:left="221" w:right="185"/>
              <w:contextualSpacing/>
              <w:jc w:val="left"/>
              <w:rPr>
                <w:sz w:val="17"/>
              </w:rPr>
            </w:pPr>
            <w:r>
              <w:rPr>
                <w:sz w:val="17"/>
              </w:rPr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6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74"/>
              </w:numPr>
              <w:tabs>
                <w:tab w:val="clear" w:pos="720"/>
                <w:tab w:val="left" w:pos="221" w:leader="none"/>
              </w:tabs>
              <w:spacing w:lineRule="auto" w:line="238" w:before="59" w:after="0"/>
              <w:ind w:hanging="170" w:left="220" w:right="226"/>
              <w:contextualSpacing/>
              <w:jc w:val="left"/>
              <w:rPr>
                <w:rFonts w:ascii="Humanst521EU" w:hAnsi="Humanst521EU"/>
                <w:i/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 xml:space="preserve">wyjaśnia znaczenie pojęcia </w:t>
            </w:r>
            <w:r>
              <w:rPr>
                <w:rFonts w:ascii="Humanst521EU" w:hAnsi="Humanst521EU"/>
                <w:i/>
                <w:kern w:val="0"/>
                <w:sz w:val="17"/>
                <w:szCs w:val="22"/>
                <w:lang w:eastAsia="en-US" w:bidi="ar-SA"/>
              </w:rPr>
              <w:t>wartość energetyczna pokarmu</w:t>
            </w:r>
          </w:p>
          <w:p>
            <w:pPr>
              <w:pStyle w:val="TableParagraph"/>
              <w:widowControl w:val="false"/>
              <w:numPr>
                <w:ilvl w:val="0"/>
                <w:numId w:val="74"/>
              </w:numPr>
              <w:tabs>
                <w:tab w:val="clear" w:pos="720"/>
                <w:tab w:val="left" w:pos="221" w:leader="none"/>
              </w:tabs>
              <w:spacing w:lineRule="auto" w:line="235" w:before="0" w:after="0"/>
              <w:ind w:hanging="170" w:left="220" w:right="162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wykazuje zależność między dietą a czynnikami, które ją warunkują</w:t>
            </w:r>
          </w:p>
          <w:p>
            <w:pPr>
              <w:pStyle w:val="TableParagraph"/>
              <w:widowControl w:val="false"/>
              <w:numPr>
                <w:ilvl w:val="0"/>
                <w:numId w:val="74"/>
              </w:numPr>
              <w:tabs>
                <w:tab w:val="clear" w:pos="720"/>
                <w:tab w:val="left" w:pos="221" w:leader="none"/>
              </w:tabs>
              <w:spacing w:lineRule="auto" w:line="235" w:before="3" w:after="0"/>
              <w:ind w:hanging="170" w:left="220" w:right="415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przewiduje skutki złego odżywiania się</w:t>
            </w:r>
          </w:p>
          <w:p>
            <w:pPr>
              <w:pStyle w:val="TableParagraph"/>
              <w:widowControl w:val="false"/>
              <w:numPr>
                <w:ilvl w:val="0"/>
                <w:numId w:val="74"/>
              </w:numPr>
              <w:tabs>
                <w:tab w:val="clear" w:pos="720"/>
                <w:tab w:val="left" w:pos="221" w:leader="none"/>
              </w:tabs>
              <w:spacing w:lineRule="auto" w:line="235" w:before="0" w:after="0"/>
              <w:ind w:hanging="170" w:left="220" w:right="74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omawia zasady profilaktyki, raka jelita grubego oraz WZW A, WZW B i WZW C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221" w:leader="none"/>
              </w:tabs>
              <w:spacing w:lineRule="auto" w:line="235" w:before="0" w:after="0"/>
              <w:ind w:hanging="0" w:left="220" w:right="138"/>
              <w:contextualSpacing/>
              <w:jc w:val="left"/>
              <w:rPr>
                <w:sz w:val="17"/>
              </w:rPr>
            </w:pPr>
            <w:r>
              <w:rPr>
                <w:sz w:val="17"/>
              </w:rPr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6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75"/>
              </w:numPr>
              <w:tabs>
                <w:tab w:val="clear" w:pos="720"/>
                <w:tab w:val="left" w:pos="221" w:leader="none"/>
              </w:tabs>
              <w:spacing w:lineRule="auto" w:line="235" w:before="61" w:after="0"/>
              <w:ind w:hanging="170" w:left="220" w:right="222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wykazuje zależność między higieną odżywiania się a chorobami układu pokarmowego</w:t>
            </w:r>
          </w:p>
          <w:p>
            <w:pPr>
              <w:pStyle w:val="TableParagraph"/>
              <w:widowControl w:val="false"/>
              <w:numPr>
                <w:ilvl w:val="0"/>
                <w:numId w:val="75"/>
              </w:numPr>
              <w:tabs>
                <w:tab w:val="clear" w:pos="720"/>
                <w:tab w:val="left" w:pos="221" w:leader="none"/>
              </w:tabs>
              <w:spacing w:lineRule="auto" w:line="235" w:before="0" w:after="0"/>
              <w:ind w:hanging="170" w:left="220" w:right="110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wskazuje zasady profilaktyki próchnicy zębów</w:t>
            </w:r>
          </w:p>
          <w:p>
            <w:pPr>
              <w:pStyle w:val="TableParagraph"/>
              <w:widowControl w:val="false"/>
              <w:numPr>
                <w:ilvl w:val="0"/>
                <w:numId w:val="75"/>
              </w:numPr>
              <w:tabs>
                <w:tab w:val="clear" w:pos="720"/>
                <w:tab w:val="left" w:pos="221" w:leader="none"/>
              </w:tabs>
              <w:spacing w:lineRule="auto" w:line="235" w:before="0" w:after="0"/>
              <w:ind w:hanging="170" w:left="220" w:right="538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wyjaśnia, dlaczego należy stosować zróżnicowaną i dostosowaną do potrzeb organizmu</w:t>
            </w:r>
          </w:p>
          <w:p>
            <w:pPr>
              <w:pStyle w:val="TableParagraph"/>
              <w:widowControl w:val="false"/>
              <w:spacing w:lineRule="exact" w:line="204" w:before="0" w:after="0"/>
              <w:ind w:hanging="0" w:left="220"/>
              <w:contextualSpacing/>
              <w:jc w:val="left"/>
              <w:rPr>
                <w:sz w:val="17"/>
              </w:rPr>
            </w:pPr>
            <w:r>
              <w:rPr>
                <w:sz w:val="17"/>
              </w:rPr>
            </w:r>
          </w:p>
        </w:tc>
        <w:tc>
          <w:tcPr>
            <w:tcW w:w="2272" w:type="dxa"/>
            <w:tcBorders>
              <w:top w:val="single" w:sz="4" w:space="0" w:color="BCBEC0"/>
              <w:left w:val="single" w:sz="4" w:space="0" w:color="BCBEC0"/>
              <w:bottom w:val="single" w:sz="6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76"/>
              </w:numPr>
              <w:tabs>
                <w:tab w:val="clear" w:pos="720"/>
                <w:tab w:val="left" w:pos="221" w:leader="none"/>
              </w:tabs>
              <w:spacing w:lineRule="auto" w:line="235" w:before="61" w:after="0"/>
              <w:ind w:hanging="170" w:left="220" w:right="79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 </w:t>
            </w:r>
            <w:r>
              <w:rPr>
                <w:kern w:val="0"/>
                <w:sz w:val="17"/>
                <w:szCs w:val="22"/>
                <w:lang w:eastAsia="en-US" w:bidi="ar-SA"/>
              </w:rPr>
              <w:t>prezentuje wystąpienie w dowolnej formie na temat chorób związanych z zaburzeniami łaknienia i przemiany materii</w:t>
            </w:r>
          </w:p>
          <w:p>
            <w:pPr>
              <w:pStyle w:val="TableParagraph"/>
              <w:widowControl w:val="false"/>
              <w:numPr>
                <w:ilvl w:val="0"/>
                <w:numId w:val="76"/>
              </w:numPr>
              <w:tabs>
                <w:tab w:val="clear" w:pos="720"/>
                <w:tab w:val="left" w:pos="221" w:leader="none"/>
              </w:tabs>
              <w:spacing w:lineRule="auto" w:line="235" w:before="0" w:after="0"/>
              <w:ind w:hanging="170" w:left="220" w:right="50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uzasadnia konieczność badań przesiewowych w celu wykrywania wczesnych stadiów raka jelita grubego</w:t>
            </w:r>
          </w:p>
          <w:p>
            <w:pPr>
              <w:pStyle w:val="TableParagraph"/>
              <w:widowControl w:val="false"/>
              <w:numPr>
                <w:ilvl w:val="0"/>
                <w:numId w:val="77"/>
              </w:numPr>
              <w:tabs>
                <w:tab w:val="clear" w:pos="720"/>
                <w:tab w:val="left" w:pos="222" w:leader="none"/>
              </w:tabs>
              <w:spacing w:lineRule="auto" w:line="235" w:before="0" w:after="0"/>
              <w:ind w:hanging="170" w:left="221" w:right="236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uzasadnia konieczność stosowania zróżnicowanej diety dostosowanej do potrzeb organizmu</w:t>
            </w:r>
          </w:p>
          <w:p>
            <w:pPr>
              <w:pStyle w:val="TableParagraph"/>
              <w:widowControl w:val="false"/>
              <w:numPr>
                <w:ilvl w:val="0"/>
                <w:numId w:val="76"/>
              </w:numPr>
              <w:tabs>
                <w:tab w:val="clear" w:pos="720"/>
                <w:tab w:val="left" w:pos="221" w:leader="none"/>
              </w:tabs>
              <w:spacing w:lineRule="auto" w:line="235" w:before="0" w:after="0"/>
              <w:ind w:hanging="170" w:left="220" w:right="50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uzasadnia konieczność dbania o zęby</w:t>
            </w:r>
          </w:p>
        </w:tc>
      </w:tr>
    </w:tbl>
    <w:p>
      <w:pPr>
        <w:sectPr>
          <w:footerReference w:type="even" r:id="rId14"/>
          <w:footerReference w:type="default" r:id="rId15"/>
          <w:footerReference w:type="first" r:id="rId16"/>
          <w:type w:val="nextPage"/>
          <w:pgSz w:orient="landscape" w:w="15600" w:h="11630"/>
          <w:pgMar w:left="720" w:right="720" w:gutter="0" w:header="0" w:top="720" w:footer="708" w:bottom="765"/>
          <w:pgNumType w:fmt="decimal"/>
          <w:formProt w:val="false"/>
          <w:textDirection w:val="lrTb"/>
          <w:docGrid w:type="default" w:linePitch="299" w:charSpace="0"/>
        </w:sectPr>
      </w:pPr>
    </w:p>
    <w:p>
      <w:pPr>
        <w:pStyle w:val="BodyText"/>
        <w:spacing w:before="0" w:after="0"/>
        <w:ind w:left="963"/>
        <w:contextualSpacing/>
        <w:rPr>
          <w:rFonts w:ascii="Humanst521EU" w:hAnsi="Humanst521EU"/>
          <w:i w:val="false"/>
          <w:sz w:val="20"/>
        </w:rPr>
      </w:pPr>
      <w:r>
        <w:rPr>
          <w:rFonts w:ascii="Humanst521EU" w:hAnsi="Humanst521EU"/>
          <w:i w:val="false"/>
          <w:sz w:val="20"/>
        </w:rPr>
      </w:r>
    </w:p>
    <w:p>
      <w:pPr>
        <w:pStyle w:val="BodyText"/>
        <w:spacing w:before="0" w:after="0"/>
        <w:contextualSpacing/>
        <w:rPr>
          <w:rFonts w:ascii="Humanst521EU" w:hAnsi="Humanst521EU"/>
          <w:b/>
          <w:i w:val="false"/>
          <w:sz w:val="20"/>
        </w:rPr>
      </w:pPr>
      <w:r>
        <w:rPr>
          <w:rFonts w:ascii="Humanst521EU" w:hAnsi="Humanst521EU"/>
          <w:b/>
          <w:i w:val="false"/>
          <w:sz w:val="20"/>
        </w:rPr>
      </w:r>
    </w:p>
    <w:p>
      <w:pPr>
        <w:pStyle w:val="BodyText"/>
        <w:spacing w:before="1" w:after="1"/>
        <w:contextualSpacing/>
        <w:rPr>
          <w:rFonts w:ascii="Humanst521EU" w:hAnsi="Humanst521EU"/>
          <w:b/>
          <w:i w:val="false"/>
          <w:sz w:val="24"/>
        </w:rPr>
      </w:pPr>
      <w:r>
        <w:rPr>
          <w:rFonts w:ascii="Humanst521EU" w:hAnsi="Humanst521EU"/>
          <w:b/>
          <w:i w:val="false"/>
          <w:sz w:val="24"/>
        </w:rPr>
      </w:r>
    </w:p>
    <w:tbl>
      <w:tblPr>
        <w:tblStyle w:val="TableNormal"/>
        <w:tblW w:w="13757" w:type="dxa"/>
        <w:jc w:val="left"/>
        <w:tblInd w:w="850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 w:firstRow="1" w:noVBand="0" w:lastRow="1" w:firstColumn="1" w:lastColumn="1" w:noHBand="0"/>
      </w:tblPr>
      <w:tblGrid>
        <w:gridCol w:w="624"/>
        <w:gridCol w:w="1878"/>
        <w:gridCol w:w="2171"/>
        <w:gridCol w:w="2127"/>
        <w:gridCol w:w="2410"/>
        <w:gridCol w:w="2267"/>
        <w:gridCol w:w="2280"/>
      </w:tblGrid>
      <w:tr>
        <w:trPr>
          <w:trHeight w:val="400" w:hRule="atLeast"/>
        </w:trPr>
        <w:tc>
          <w:tcPr>
            <w:tcW w:w="624" w:type="dxa"/>
            <w:vMerge w:val="restart"/>
            <w:tcBorders>
              <w:top w:val="single" w:sz="4" w:space="0" w:color="BCBEC0"/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pacing w:before="5" w:after="0"/>
              <w:ind w:hanging="0" w:left="0"/>
              <w:contextualSpacing/>
              <w:jc w:val="left"/>
              <w:rPr>
                <w:rFonts w:ascii="Humanst521EU" w:hAnsi="Humanst521EU"/>
                <w:b/>
                <w:sz w:val="24"/>
              </w:rPr>
            </w:pPr>
            <w:r>
              <w:rPr>
                <w:rFonts w:ascii="Humanst521EU" w:hAnsi="Humanst521EU"/>
                <w:b/>
                <w:sz w:val="24"/>
              </w:rPr>
            </w:r>
          </w:p>
          <w:p>
            <w:pPr>
              <w:pStyle w:val="TableParagraph"/>
              <w:widowControl w:val="false"/>
              <w:spacing w:before="0" w:after="0"/>
              <w:ind w:hanging="0" w:left="109"/>
              <w:contextualSpacing/>
              <w:jc w:val="left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Dział</w:t>
            </w:r>
          </w:p>
        </w:tc>
        <w:tc>
          <w:tcPr>
            <w:tcW w:w="1878" w:type="dxa"/>
            <w:vMerge w:val="restart"/>
            <w:tcBorders>
              <w:top w:val="single" w:sz="4" w:space="0" w:color="BCBEC0"/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pacing w:before="5" w:after="0"/>
              <w:ind w:hanging="0" w:left="0"/>
              <w:contextualSpacing/>
              <w:jc w:val="left"/>
              <w:rPr>
                <w:rFonts w:ascii="Humanst521EU" w:hAnsi="Humanst521EU"/>
                <w:b/>
                <w:sz w:val="24"/>
              </w:rPr>
            </w:pPr>
            <w:r>
              <w:rPr>
                <w:rFonts w:ascii="Humanst521EU" w:hAnsi="Humanst521EU"/>
                <w:b/>
                <w:sz w:val="24"/>
              </w:rPr>
            </w:r>
          </w:p>
          <w:p>
            <w:pPr>
              <w:pStyle w:val="TableParagraph"/>
              <w:widowControl w:val="false"/>
              <w:spacing w:before="0" w:after="0"/>
              <w:ind w:hanging="0" w:left="613" w:right="613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Temat</w:t>
            </w:r>
          </w:p>
        </w:tc>
        <w:tc>
          <w:tcPr>
            <w:tcW w:w="11255" w:type="dxa"/>
            <w:gridSpan w:val="5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pacing w:before="92" w:after="0"/>
              <w:ind w:hanging="0" w:left="4975" w:right="4975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Poziom wymagań</w:t>
            </w:r>
          </w:p>
        </w:tc>
      </w:tr>
      <w:tr>
        <w:trPr>
          <w:trHeight w:val="380" w:hRule="atLeast"/>
        </w:trPr>
        <w:tc>
          <w:tcPr>
            <w:tcW w:w="624" w:type="dxa"/>
            <w:vMerge w:val="continue"/>
            <w:tcBorders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contextualSpacing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878" w:type="dxa"/>
            <w:vMerge w:val="continue"/>
            <w:tcBorders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contextualSpacing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171" w:type="dxa"/>
            <w:tcBorders>
              <w:top w:val="single" w:sz="4" w:space="0" w:color="BCBEC0"/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pacing w:before="87" w:after="0"/>
              <w:ind w:hanging="0" w:left="334"/>
              <w:contextualSpacing/>
              <w:jc w:val="left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ocena dopuszczająca</w:t>
            </w:r>
          </w:p>
        </w:tc>
        <w:tc>
          <w:tcPr>
            <w:tcW w:w="2127" w:type="dxa"/>
            <w:tcBorders>
              <w:top w:val="single" w:sz="4" w:space="0" w:color="BCBEC0"/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pacing w:before="87" w:after="0"/>
              <w:ind w:hanging="0" w:left="418"/>
              <w:contextualSpacing/>
              <w:jc w:val="left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ocena dostateczna</w:t>
            </w:r>
          </w:p>
        </w:tc>
        <w:tc>
          <w:tcPr>
            <w:tcW w:w="2410" w:type="dxa"/>
            <w:tcBorders>
              <w:top w:val="single" w:sz="4" w:space="0" w:color="BCBEC0"/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pacing w:before="87" w:after="0"/>
              <w:ind w:hanging="0" w:left="656"/>
              <w:contextualSpacing/>
              <w:jc w:val="left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ocena dobra</w:t>
            </w:r>
          </w:p>
        </w:tc>
        <w:tc>
          <w:tcPr>
            <w:tcW w:w="2267" w:type="dxa"/>
            <w:tcBorders>
              <w:top w:val="single" w:sz="4" w:space="0" w:color="BCBEC0"/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pacing w:before="87" w:after="0"/>
              <w:ind w:hanging="0" w:left="365"/>
              <w:contextualSpacing/>
              <w:jc w:val="left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ocena bardzo dobra</w:t>
            </w:r>
          </w:p>
        </w:tc>
        <w:tc>
          <w:tcPr>
            <w:tcW w:w="2280" w:type="dxa"/>
            <w:tcBorders>
              <w:top w:val="single" w:sz="4" w:space="0" w:color="BCBEC0"/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pacing w:before="87" w:after="0"/>
              <w:ind w:hanging="0" w:left="576"/>
              <w:contextualSpacing/>
              <w:jc w:val="left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ocena celująca</w:t>
            </w:r>
          </w:p>
        </w:tc>
      </w:tr>
      <w:tr>
        <w:trPr>
          <w:trHeight w:val="1405" w:hRule="atLeast"/>
        </w:trPr>
        <w:tc>
          <w:tcPr>
            <w:tcW w:w="624" w:type="dxa"/>
            <w:vMerge w:val="restart"/>
            <w:tcBorders>
              <w:top w:val="single" w:sz="8" w:space="0" w:color="FDB515"/>
              <w:left w:val="single" w:sz="6" w:space="0" w:color="BCBEC0"/>
              <w:bottom w:val="single" w:sz="4" w:space="0" w:color="BCBEC0"/>
              <w:right w:val="single" w:sz="6" w:space="0" w:color="BCBEC0"/>
            </w:tcBorders>
            <w:shd w:color="auto" w:fill="auto" w:val="clear"/>
            <w:textDirection w:val="btLr"/>
          </w:tcPr>
          <w:p>
            <w:pPr>
              <w:pStyle w:val="TableParagraph"/>
              <w:widowControl w:val="false"/>
              <w:spacing w:before="9" w:after="0"/>
              <w:ind w:hanging="0" w:left="0"/>
              <w:contextualSpacing/>
              <w:jc w:val="left"/>
              <w:rPr>
                <w:rFonts w:ascii="Humanst521EU" w:hAnsi="Humanst521EU"/>
                <w:b/>
                <w:sz w:val="15"/>
              </w:rPr>
            </w:pPr>
            <w:r>
              <w:rPr>
                <w:rFonts w:ascii="Humanst521EU" w:hAnsi="Humanst521EU"/>
                <w:b/>
                <w:sz w:val="15"/>
              </w:rPr>
            </w:r>
          </w:p>
          <w:p>
            <w:pPr>
              <w:pStyle w:val="TableParagraph"/>
              <w:widowControl w:val="false"/>
              <w:spacing w:before="1" w:after="0"/>
              <w:ind w:hanging="0" w:left="3747"/>
              <w:contextualSpacing/>
              <w:jc w:val="left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spacing w:val="-23"/>
                <w:kern w:val="0"/>
                <w:sz w:val="17"/>
                <w:szCs w:val="22"/>
                <w:lang w:eastAsia="en-US" w:bidi="ar-SA"/>
              </w:rPr>
              <w:t>IV</w:t>
            </w: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. Układ krążenia</w:t>
            </w:r>
          </w:p>
        </w:tc>
        <w:tc>
          <w:tcPr>
            <w:tcW w:w="1878" w:type="dxa"/>
            <w:tcBorders>
              <w:top w:val="single" w:sz="8" w:space="0" w:color="FDB515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pacing w:lineRule="auto" w:line="235" w:before="61" w:after="0"/>
              <w:ind w:hanging="258" w:left="309" w:right="141"/>
              <w:contextualSpacing/>
              <w:jc w:val="left"/>
              <w:rPr>
                <w:b/>
                <w:sz w:val="17"/>
              </w:rPr>
            </w:pPr>
            <w:r>
              <w:rPr>
                <w:b/>
                <w:kern w:val="0"/>
                <w:sz w:val="17"/>
                <w:szCs w:val="22"/>
                <w:lang w:eastAsia="en-US" w:bidi="ar-SA"/>
              </w:rPr>
              <w:t>14. Budowa i funkcje krwi</w:t>
            </w:r>
          </w:p>
        </w:tc>
        <w:tc>
          <w:tcPr>
            <w:tcW w:w="2171" w:type="dxa"/>
            <w:tcBorders>
              <w:top w:val="single" w:sz="8" w:space="0" w:color="FDB515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78"/>
              </w:numPr>
              <w:tabs>
                <w:tab w:val="clear" w:pos="720"/>
                <w:tab w:val="left" w:pos="222" w:leader="none"/>
              </w:tabs>
              <w:spacing w:lineRule="auto" w:line="235" w:before="61" w:after="0"/>
              <w:ind w:hanging="170" w:left="221" w:right="275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nazywa elementy morfotyczne krwi</w:t>
            </w:r>
          </w:p>
          <w:p>
            <w:pPr>
              <w:pStyle w:val="TableParagraph"/>
              <w:widowControl w:val="false"/>
              <w:numPr>
                <w:ilvl w:val="0"/>
                <w:numId w:val="78"/>
              </w:numPr>
              <w:tabs>
                <w:tab w:val="clear" w:pos="720"/>
                <w:tab w:val="left" w:pos="222" w:leader="none"/>
              </w:tabs>
              <w:spacing w:lineRule="exact" w:line="202" w:before="0" w:after="0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wymienia grupy krwi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222" w:leader="none"/>
              </w:tabs>
              <w:spacing w:lineRule="auto" w:line="235" w:before="3" w:after="0"/>
              <w:ind w:hanging="0" w:left="221" w:right="200"/>
              <w:contextualSpacing/>
              <w:jc w:val="left"/>
              <w:rPr>
                <w:sz w:val="17"/>
              </w:rPr>
            </w:pPr>
            <w:r>
              <w:rPr>
                <w:sz w:val="17"/>
              </w:rPr>
            </w:r>
          </w:p>
        </w:tc>
        <w:tc>
          <w:tcPr>
            <w:tcW w:w="2127" w:type="dxa"/>
            <w:tcBorders>
              <w:top w:val="single" w:sz="8" w:space="0" w:color="FDB515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79"/>
              </w:numPr>
              <w:tabs>
                <w:tab w:val="clear" w:pos="720"/>
                <w:tab w:val="left" w:pos="222" w:leader="none"/>
              </w:tabs>
              <w:spacing w:lineRule="exact" w:line="206" w:before="57" w:after="0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omawia funkcje krwi</w:t>
            </w:r>
          </w:p>
          <w:p>
            <w:pPr>
              <w:pStyle w:val="TableParagraph"/>
              <w:widowControl w:val="false"/>
              <w:numPr>
                <w:ilvl w:val="0"/>
                <w:numId w:val="79"/>
              </w:numPr>
              <w:tabs>
                <w:tab w:val="clear" w:pos="720"/>
                <w:tab w:val="left" w:pos="222" w:leader="none"/>
              </w:tabs>
              <w:spacing w:lineRule="auto" w:line="235" w:before="2" w:after="0"/>
              <w:ind w:hanging="170" w:left="221" w:right="131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wymienia grupy krwi i wyjaśnia, co stanowi</w:t>
            </w:r>
          </w:p>
          <w:p>
            <w:pPr>
              <w:pStyle w:val="TableParagraph"/>
              <w:widowControl w:val="false"/>
              <w:spacing w:lineRule="exact" w:line="202" w:before="0" w:after="0"/>
              <w:ind w:hanging="0" w:left="221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podstawę ich wyodrębnienia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222" w:leader="none"/>
              </w:tabs>
              <w:spacing w:lineRule="auto" w:line="235" w:before="2" w:after="0"/>
              <w:ind w:hanging="0" w:left="221" w:right="188"/>
              <w:contextualSpacing/>
              <w:jc w:val="left"/>
              <w:rPr>
                <w:sz w:val="17"/>
              </w:rPr>
            </w:pPr>
            <w:r>
              <w:rPr>
                <w:sz w:val="17"/>
              </w:rPr>
            </w:r>
          </w:p>
        </w:tc>
        <w:tc>
          <w:tcPr>
            <w:tcW w:w="2410" w:type="dxa"/>
            <w:tcBorders>
              <w:top w:val="single" w:sz="8" w:space="0" w:color="FDB515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80"/>
              </w:numPr>
              <w:tabs>
                <w:tab w:val="clear" w:pos="720"/>
                <w:tab w:val="left" w:pos="222" w:leader="none"/>
              </w:tabs>
              <w:spacing w:lineRule="exact" w:line="206" w:before="57" w:after="0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omawia znaczenie krwi</w:t>
            </w:r>
          </w:p>
          <w:p>
            <w:pPr>
              <w:pStyle w:val="TableParagraph"/>
              <w:widowControl w:val="false"/>
              <w:numPr>
                <w:ilvl w:val="0"/>
                <w:numId w:val="80"/>
              </w:numPr>
              <w:tabs>
                <w:tab w:val="clear" w:pos="720"/>
                <w:tab w:val="left" w:pos="222" w:leader="none"/>
              </w:tabs>
              <w:spacing w:lineRule="auto" w:line="235" w:before="2" w:after="0"/>
              <w:ind w:hanging="170" w:left="221" w:right="347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charakteryzuje elementy morfotyczne krwi</w:t>
            </w:r>
          </w:p>
          <w:p>
            <w:pPr>
              <w:pStyle w:val="TableParagraph"/>
              <w:widowControl w:val="false"/>
              <w:numPr>
                <w:ilvl w:val="0"/>
                <w:numId w:val="80"/>
              </w:numPr>
              <w:tabs>
                <w:tab w:val="clear" w:pos="720"/>
                <w:tab w:val="left" w:pos="222" w:leader="none"/>
              </w:tabs>
              <w:spacing w:lineRule="exact" w:line="202" w:before="0" w:after="0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omawia rolę hemoglobiny</w:t>
            </w:r>
          </w:p>
          <w:p>
            <w:pPr>
              <w:pStyle w:val="TableParagraph"/>
              <w:widowControl w:val="false"/>
              <w:numPr>
                <w:ilvl w:val="0"/>
                <w:numId w:val="80"/>
              </w:numPr>
              <w:tabs>
                <w:tab w:val="clear" w:pos="720"/>
                <w:tab w:val="left" w:pos="222" w:leader="none"/>
              </w:tabs>
              <w:spacing w:lineRule="auto" w:line="235" w:before="2" w:after="0"/>
              <w:ind w:hanging="170" w:left="221" w:right="313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przedstawia społeczne znaczenie krwiodawstwa</w:t>
            </w:r>
          </w:p>
        </w:tc>
        <w:tc>
          <w:tcPr>
            <w:tcW w:w="2267" w:type="dxa"/>
            <w:tcBorders>
              <w:top w:val="single" w:sz="8" w:space="0" w:color="FDB515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81"/>
              </w:numPr>
              <w:tabs>
                <w:tab w:val="clear" w:pos="720"/>
                <w:tab w:val="left" w:pos="222" w:leader="none"/>
              </w:tabs>
              <w:spacing w:lineRule="auto" w:line="235" w:before="0" w:after="0"/>
              <w:ind w:hanging="170" w:left="221" w:right="638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wyjaśnia mechanizm krzepnięcia krwi</w:t>
            </w:r>
          </w:p>
          <w:p>
            <w:pPr>
              <w:pStyle w:val="TableParagraph"/>
              <w:widowControl w:val="false"/>
              <w:numPr>
                <w:ilvl w:val="0"/>
                <w:numId w:val="81"/>
              </w:numPr>
              <w:tabs>
                <w:tab w:val="clear" w:pos="720"/>
                <w:tab w:val="left" w:pos="222" w:leader="none"/>
              </w:tabs>
              <w:spacing w:lineRule="auto" w:line="235" w:before="0" w:after="0"/>
              <w:ind w:hanging="170" w:left="221" w:right="282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rozpoznaje elementy morfotyczne krwi na podstawie obserwacji mikroskopowej</w:t>
            </w:r>
          </w:p>
        </w:tc>
        <w:tc>
          <w:tcPr>
            <w:tcW w:w="2280" w:type="dxa"/>
            <w:tcBorders>
              <w:top w:val="single" w:sz="8" w:space="0" w:color="FDB515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82"/>
              </w:numPr>
              <w:tabs>
                <w:tab w:val="clear" w:pos="720"/>
                <w:tab w:val="left" w:pos="222" w:leader="none"/>
              </w:tabs>
              <w:spacing w:lineRule="auto" w:line="235" w:before="0" w:after="0"/>
              <w:ind w:hanging="170" w:left="221" w:right="392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odczytuje i interpretuje  wyniki laboratoryjnego badania krwi</w:t>
            </w:r>
          </w:p>
          <w:p>
            <w:pPr>
              <w:pStyle w:val="TableParagraph"/>
              <w:widowControl w:val="false"/>
              <w:numPr>
                <w:ilvl w:val="0"/>
                <w:numId w:val="82"/>
              </w:numPr>
              <w:tabs>
                <w:tab w:val="clear" w:pos="720"/>
                <w:tab w:val="left" w:pos="222" w:leader="none"/>
              </w:tabs>
              <w:spacing w:lineRule="auto" w:line="235" w:before="0" w:after="0"/>
              <w:ind w:hanging="170" w:left="221" w:right="392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omawia zasady transfuzji krwi</w:t>
            </w:r>
          </w:p>
        </w:tc>
      </w:tr>
      <w:tr>
        <w:trPr>
          <w:trHeight w:val="1540" w:hRule="atLeast"/>
        </w:trPr>
        <w:tc>
          <w:tcPr>
            <w:tcW w:w="624" w:type="dxa"/>
            <w:vMerge w:val="continue"/>
            <w:tcBorders>
              <w:left w:val="single" w:sz="6" w:space="0" w:color="BCBEC0"/>
              <w:bottom w:val="single" w:sz="4" w:space="0" w:color="BCBEC0"/>
              <w:right w:val="single" w:sz="6" w:space="0" w:color="BCBEC0"/>
            </w:tcBorders>
            <w:shd w:color="auto" w:fill="auto" w:val="clear"/>
            <w:textDirection w:val="btLr"/>
          </w:tcPr>
          <w:p>
            <w:pPr>
              <w:pStyle w:val="Normal"/>
              <w:widowControl w:val="false"/>
              <w:spacing w:before="0" w:after="0"/>
              <w:contextualSpacing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878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pacing w:before="57" w:after="0"/>
              <w:ind w:hanging="0" w:left="51"/>
              <w:contextualSpacing/>
              <w:jc w:val="left"/>
              <w:rPr>
                <w:b/>
                <w:sz w:val="17"/>
              </w:rPr>
            </w:pPr>
            <w:r>
              <w:rPr>
                <w:b/>
                <w:kern w:val="0"/>
                <w:sz w:val="17"/>
                <w:szCs w:val="22"/>
                <w:lang w:eastAsia="en-US" w:bidi="ar-SA"/>
              </w:rPr>
              <w:t>15. Krążenie krwi</w:t>
            </w:r>
          </w:p>
        </w:tc>
        <w:tc>
          <w:tcPr>
            <w:tcW w:w="2171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83"/>
              </w:numPr>
              <w:tabs>
                <w:tab w:val="clear" w:pos="720"/>
                <w:tab w:val="left" w:pos="222" w:leader="none"/>
              </w:tabs>
              <w:spacing w:lineRule="auto" w:line="235" w:before="61" w:after="0"/>
              <w:ind w:hanging="170" w:left="221" w:right="310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wymienia narządy układu krwionośnego</w:t>
            </w:r>
          </w:p>
          <w:p>
            <w:pPr>
              <w:pStyle w:val="TableParagraph"/>
              <w:widowControl w:val="false"/>
              <w:numPr>
                <w:ilvl w:val="0"/>
                <w:numId w:val="83"/>
              </w:numPr>
              <w:tabs>
                <w:tab w:val="clear" w:pos="720"/>
                <w:tab w:val="left" w:pos="222" w:leader="none"/>
              </w:tabs>
              <w:spacing w:lineRule="auto" w:line="235" w:before="0" w:after="0"/>
              <w:ind w:hanging="170" w:left="221" w:right="246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z pomocą nauczyciela omawia na podstawie ilustracji mały i duży obieg krwi</w:t>
            </w:r>
          </w:p>
        </w:tc>
        <w:tc>
          <w:tcPr>
            <w:tcW w:w="21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84"/>
              </w:numPr>
              <w:tabs>
                <w:tab w:val="clear" w:pos="720"/>
                <w:tab w:val="left" w:pos="222" w:leader="none"/>
              </w:tabs>
              <w:spacing w:lineRule="auto" w:line="235" w:before="61" w:after="0"/>
              <w:ind w:hanging="170" w:left="221" w:right="159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omawia funkcje wybranego naczynia krwionośnego</w:t>
            </w:r>
          </w:p>
          <w:p>
            <w:pPr>
              <w:pStyle w:val="TableParagraph"/>
              <w:widowControl w:val="false"/>
              <w:numPr>
                <w:ilvl w:val="0"/>
                <w:numId w:val="84"/>
              </w:numPr>
              <w:tabs>
                <w:tab w:val="clear" w:pos="720"/>
                <w:tab w:val="left" w:pos="222" w:leader="none"/>
              </w:tabs>
              <w:spacing w:lineRule="auto" w:line="235" w:before="0" w:after="0"/>
              <w:ind w:hanging="170" w:left="221" w:right="68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porównuje budowę i funkcje żył, tętnic oraz naczyń włosowatych</w:t>
            </w:r>
          </w:p>
          <w:p>
            <w:pPr>
              <w:pStyle w:val="TableParagraph"/>
              <w:widowControl w:val="false"/>
              <w:numPr>
                <w:ilvl w:val="0"/>
                <w:numId w:val="84"/>
              </w:numPr>
              <w:tabs>
                <w:tab w:val="clear" w:pos="720"/>
                <w:tab w:val="left" w:pos="222" w:leader="none"/>
              </w:tabs>
              <w:spacing w:lineRule="auto" w:line="235" w:before="0" w:after="0"/>
              <w:ind w:hanging="170" w:left="221" w:right="342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opisuje funkcje zastawek żylnych</w:t>
            </w:r>
          </w:p>
        </w:tc>
        <w:tc>
          <w:tcPr>
            <w:tcW w:w="2410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85"/>
              </w:numPr>
              <w:tabs>
                <w:tab w:val="clear" w:pos="720"/>
                <w:tab w:val="left" w:pos="221" w:leader="none"/>
              </w:tabs>
              <w:spacing w:lineRule="auto" w:line="235" w:before="61" w:after="0"/>
              <w:ind w:hanging="170" w:left="220" w:right="156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porównuje krwiobiegi: mały i duży</w:t>
            </w:r>
          </w:p>
          <w:p>
            <w:pPr>
              <w:pStyle w:val="TableParagraph"/>
              <w:widowControl w:val="false"/>
              <w:numPr>
                <w:ilvl w:val="0"/>
                <w:numId w:val="85"/>
              </w:numPr>
              <w:tabs>
                <w:tab w:val="clear" w:pos="720"/>
                <w:tab w:val="left" w:pos="221" w:leader="none"/>
              </w:tabs>
              <w:spacing w:lineRule="auto" w:line="235" w:before="0" w:after="0"/>
              <w:ind w:hanging="170" w:left="220" w:right="225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opisuje drogę krwi płynącej w małym i dużym krwiobiegu</w:t>
            </w:r>
          </w:p>
        </w:tc>
        <w:tc>
          <w:tcPr>
            <w:tcW w:w="226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86"/>
              </w:numPr>
              <w:tabs>
                <w:tab w:val="clear" w:pos="720"/>
                <w:tab w:val="left" w:pos="221" w:leader="none"/>
              </w:tabs>
              <w:spacing w:lineRule="auto" w:line="235" w:before="61" w:after="0"/>
              <w:ind w:hanging="170" w:left="220" w:right="309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rozpoznaje poszczególne naczynia krwionośne na ilustracji</w:t>
            </w:r>
          </w:p>
          <w:p>
            <w:pPr>
              <w:pStyle w:val="TableParagraph"/>
              <w:widowControl w:val="false"/>
              <w:numPr>
                <w:ilvl w:val="0"/>
                <w:numId w:val="86"/>
              </w:numPr>
              <w:tabs>
                <w:tab w:val="clear" w:pos="720"/>
                <w:tab w:val="left" w:pos="221" w:leader="none"/>
              </w:tabs>
              <w:spacing w:lineRule="auto" w:line="235" w:before="3" w:after="0"/>
              <w:ind w:hanging="170" w:left="220" w:right="206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wykazuje związek budowy naczyń krwionośnych z pełnionymi przez nie funkcjami</w:t>
            </w:r>
          </w:p>
        </w:tc>
        <w:tc>
          <w:tcPr>
            <w:tcW w:w="2280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87"/>
              </w:numPr>
              <w:tabs>
                <w:tab w:val="clear" w:pos="720"/>
                <w:tab w:val="left" w:pos="221" w:leader="none"/>
              </w:tabs>
              <w:spacing w:lineRule="auto" w:line="235" w:before="61" w:after="0"/>
              <w:ind w:hanging="170" w:left="220" w:right="88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analizuje związek przepływu krwi w naczyniach z wymianą gazową</w:t>
            </w:r>
          </w:p>
        </w:tc>
      </w:tr>
      <w:tr>
        <w:trPr>
          <w:trHeight w:val="1960" w:hRule="atLeast"/>
        </w:trPr>
        <w:tc>
          <w:tcPr>
            <w:tcW w:w="624" w:type="dxa"/>
            <w:vMerge w:val="continue"/>
            <w:tcBorders>
              <w:left w:val="single" w:sz="6" w:space="0" w:color="BCBEC0"/>
              <w:bottom w:val="single" w:sz="4" w:space="0" w:color="BCBEC0"/>
              <w:right w:val="single" w:sz="6" w:space="0" w:color="BCBEC0"/>
            </w:tcBorders>
            <w:shd w:color="auto" w:fill="auto" w:val="clear"/>
            <w:textDirection w:val="btLr"/>
          </w:tcPr>
          <w:p>
            <w:pPr>
              <w:pStyle w:val="Normal"/>
              <w:widowControl w:val="false"/>
              <w:spacing w:before="0" w:after="0"/>
              <w:contextualSpacing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878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pacing w:lineRule="exact" w:line="206" w:before="57" w:after="0"/>
              <w:ind w:hanging="255" w:left="306"/>
              <w:contextualSpacing/>
              <w:jc w:val="left"/>
              <w:rPr>
                <w:b/>
                <w:sz w:val="17"/>
              </w:rPr>
            </w:pPr>
            <w:r>
              <w:rPr>
                <w:b/>
                <w:kern w:val="0"/>
                <w:sz w:val="17"/>
                <w:szCs w:val="22"/>
                <w:lang w:eastAsia="en-US" w:bidi="ar-SA"/>
              </w:rPr>
              <w:t>16. Budowa i działanie serca</w:t>
            </w:r>
          </w:p>
        </w:tc>
        <w:tc>
          <w:tcPr>
            <w:tcW w:w="2171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88"/>
              </w:numPr>
              <w:tabs>
                <w:tab w:val="clear" w:pos="720"/>
                <w:tab w:val="left" w:pos="221" w:leader="none"/>
              </w:tabs>
              <w:spacing w:lineRule="auto" w:line="235" w:before="61" w:after="0"/>
              <w:ind w:hanging="170" w:left="220" w:right="284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lokalizuje położenie serca we własnym ciele</w:t>
            </w:r>
          </w:p>
          <w:p>
            <w:pPr>
              <w:pStyle w:val="TableParagraph"/>
              <w:widowControl w:val="false"/>
              <w:numPr>
                <w:ilvl w:val="0"/>
                <w:numId w:val="88"/>
              </w:numPr>
              <w:tabs>
                <w:tab w:val="clear" w:pos="720"/>
                <w:tab w:val="left" w:pos="221" w:leader="none"/>
              </w:tabs>
              <w:spacing w:lineRule="auto" w:line="235" w:before="0" w:after="0"/>
              <w:ind w:hanging="170" w:left="220" w:right="109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wymienia elementy budowy serca</w:t>
            </w:r>
          </w:p>
          <w:p>
            <w:pPr>
              <w:pStyle w:val="TableParagraph"/>
              <w:widowControl w:val="false"/>
              <w:numPr>
                <w:ilvl w:val="0"/>
                <w:numId w:val="89"/>
              </w:numPr>
              <w:tabs>
                <w:tab w:val="clear" w:pos="720"/>
                <w:tab w:val="left" w:pos="221" w:leader="none"/>
              </w:tabs>
              <w:spacing w:lineRule="exact" w:line="204" w:before="0" w:after="0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wyjaśnia, czym jest puls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221" w:leader="none"/>
              </w:tabs>
              <w:spacing w:lineRule="auto" w:line="235" w:before="0" w:after="0"/>
              <w:ind w:hanging="0" w:left="220" w:right="132"/>
              <w:contextualSpacing/>
              <w:jc w:val="left"/>
              <w:rPr>
                <w:sz w:val="17"/>
              </w:rPr>
            </w:pPr>
            <w:r>
              <w:rPr>
                <w:sz w:val="17"/>
              </w:rPr>
            </w:r>
          </w:p>
        </w:tc>
        <w:tc>
          <w:tcPr>
            <w:tcW w:w="21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89"/>
              </w:numPr>
              <w:tabs>
                <w:tab w:val="clear" w:pos="720"/>
                <w:tab w:val="left" w:pos="221" w:leader="none"/>
              </w:tabs>
              <w:spacing w:lineRule="auto" w:line="235" w:before="61" w:after="0"/>
              <w:ind w:hanging="170" w:left="220" w:right="107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rozpoznaje elementy budowy serca i naczynia krwionośnego na schemacie (ilustracji z podręcznika)</w:t>
            </w:r>
          </w:p>
          <w:p>
            <w:pPr>
              <w:pStyle w:val="TableParagraph"/>
              <w:widowControl w:val="false"/>
              <w:numPr>
                <w:ilvl w:val="0"/>
                <w:numId w:val="89"/>
              </w:numPr>
              <w:tabs>
                <w:tab w:val="clear" w:pos="720"/>
                <w:tab w:val="left" w:pos="221" w:leader="none"/>
              </w:tabs>
              <w:spacing w:lineRule="exact" w:line="204" w:before="0" w:after="0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podaje prawidłową wartość pulsu i ciśnienia zdrowego człowieka</w:t>
            </w:r>
          </w:p>
        </w:tc>
        <w:tc>
          <w:tcPr>
            <w:tcW w:w="2410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90"/>
              </w:numPr>
              <w:tabs>
                <w:tab w:val="clear" w:pos="720"/>
                <w:tab w:val="left" w:pos="221" w:leader="none"/>
              </w:tabs>
              <w:spacing w:lineRule="auto" w:line="235" w:before="61" w:after="0"/>
              <w:ind w:hanging="170" w:left="220" w:right="309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opisuje mechanizm pracy serca</w:t>
            </w:r>
          </w:p>
          <w:p>
            <w:pPr>
              <w:pStyle w:val="TableParagraph"/>
              <w:widowControl w:val="false"/>
              <w:numPr>
                <w:ilvl w:val="0"/>
                <w:numId w:val="90"/>
              </w:numPr>
              <w:tabs>
                <w:tab w:val="clear" w:pos="720"/>
                <w:tab w:val="left" w:pos="221" w:leader="none"/>
              </w:tabs>
              <w:spacing w:lineRule="auto" w:line="235" w:before="0" w:after="0"/>
              <w:ind w:hanging="170" w:left="220" w:right="372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omawia fazy cyklu pracy serca</w:t>
            </w:r>
          </w:p>
          <w:p>
            <w:pPr>
              <w:pStyle w:val="TableParagraph"/>
              <w:widowControl w:val="false"/>
              <w:numPr>
                <w:ilvl w:val="0"/>
                <w:numId w:val="90"/>
              </w:numPr>
              <w:tabs>
                <w:tab w:val="clear" w:pos="720"/>
                <w:tab w:val="left" w:pos="221" w:leader="none"/>
              </w:tabs>
              <w:spacing w:lineRule="exact" w:line="202" w:before="0" w:after="0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mierzy koledze puls</w:t>
            </w:r>
          </w:p>
          <w:p>
            <w:pPr>
              <w:pStyle w:val="TableParagraph"/>
              <w:widowControl w:val="false"/>
              <w:numPr>
                <w:ilvl w:val="0"/>
                <w:numId w:val="90"/>
              </w:numPr>
              <w:tabs>
                <w:tab w:val="clear" w:pos="720"/>
                <w:tab w:val="left" w:pos="221" w:leader="none"/>
              </w:tabs>
              <w:spacing w:lineRule="auto" w:line="235" w:before="3" w:after="0"/>
              <w:ind w:hanging="170" w:left="220" w:right="378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wyjaśnia różnicę między ciśnieniem skurczowym a ciśnieniem rozkurczowym krwi</w:t>
            </w:r>
          </w:p>
        </w:tc>
        <w:tc>
          <w:tcPr>
            <w:tcW w:w="226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91"/>
              </w:numPr>
              <w:tabs>
                <w:tab w:val="clear" w:pos="720"/>
                <w:tab w:val="left" w:pos="221" w:leader="none"/>
              </w:tabs>
              <w:spacing w:lineRule="auto" w:line="235" w:before="61" w:after="0"/>
              <w:ind w:hanging="170" w:left="220" w:right="382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wykazuje rolę zastawek w funkcjonowaniu serca</w:t>
            </w:r>
          </w:p>
          <w:p>
            <w:pPr>
              <w:pStyle w:val="TableParagraph"/>
              <w:widowControl w:val="false"/>
              <w:numPr>
                <w:ilvl w:val="0"/>
                <w:numId w:val="91"/>
              </w:numPr>
              <w:tabs>
                <w:tab w:val="clear" w:pos="720"/>
                <w:tab w:val="left" w:pos="221" w:leader="none"/>
              </w:tabs>
              <w:spacing w:lineRule="auto" w:line="235" w:before="0" w:after="0"/>
              <w:ind w:hanging="170" w:left="220" w:right="194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omawia doświadczenie wykazujące wpływ wysiłku fizycznego na zmiany tętna i ciśnienia krwi</w:t>
            </w:r>
          </w:p>
        </w:tc>
        <w:tc>
          <w:tcPr>
            <w:tcW w:w="2280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92"/>
              </w:numPr>
              <w:tabs>
                <w:tab w:val="clear" w:pos="720"/>
                <w:tab w:val="left" w:pos="221" w:leader="none"/>
              </w:tabs>
              <w:spacing w:lineRule="auto" w:line="235" w:before="61" w:after="0"/>
              <w:ind w:hanging="170" w:left="220" w:right="203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planuje i przeprowadza doświadczenie wykazujące wpływ wysiłku fizycznego na zmiany tętna i ciśnienia krwi</w:t>
            </w:r>
          </w:p>
          <w:p>
            <w:pPr>
              <w:pStyle w:val="TableParagraph"/>
              <w:widowControl w:val="false"/>
              <w:numPr>
                <w:ilvl w:val="0"/>
                <w:numId w:val="91"/>
              </w:numPr>
              <w:tabs>
                <w:tab w:val="clear" w:pos="720"/>
                <w:tab w:val="left" w:pos="221" w:leader="none"/>
              </w:tabs>
              <w:spacing w:lineRule="auto" w:line="235" w:before="0" w:after="0"/>
              <w:ind w:hanging="170" w:left="220" w:right="140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porównuje wartości ciśnienia skurczowego i ciśnienia rozkurczowego krwi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221" w:leader="none"/>
              </w:tabs>
              <w:spacing w:lineRule="auto" w:line="235" w:before="61" w:after="0"/>
              <w:ind w:hanging="0" w:left="220" w:right="203"/>
              <w:contextualSpacing/>
              <w:jc w:val="left"/>
              <w:rPr>
                <w:sz w:val="17"/>
              </w:rPr>
            </w:pPr>
            <w:r>
              <w:rPr>
                <w:sz w:val="17"/>
              </w:rPr>
            </w:r>
          </w:p>
        </w:tc>
      </w:tr>
      <w:tr>
        <w:trPr>
          <w:trHeight w:val="2280" w:hRule="atLeast"/>
        </w:trPr>
        <w:tc>
          <w:tcPr>
            <w:tcW w:w="624" w:type="dxa"/>
            <w:vMerge w:val="continue"/>
            <w:tcBorders>
              <w:left w:val="single" w:sz="6" w:space="0" w:color="BCBEC0"/>
              <w:bottom w:val="single" w:sz="4" w:space="0" w:color="BCBEC0"/>
              <w:right w:val="single" w:sz="6" w:space="0" w:color="BCBEC0"/>
            </w:tcBorders>
            <w:shd w:color="auto" w:fill="auto" w:val="clear"/>
            <w:textDirection w:val="btLr"/>
          </w:tcPr>
          <w:p>
            <w:pPr>
              <w:pStyle w:val="Normal"/>
              <w:widowControl w:val="false"/>
              <w:spacing w:before="0" w:after="0"/>
              <w:contextualSpacing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878" w:type="dxa"/>
            <w:tcBorders>
              <w:top w:val="single" w:sz="4" w:space="0" w:color="BCBEC0"/>
              <w:left w:val="single" w:sz="6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pacing w:lineRule="auto" w:line="235" w:before="61" w:after="0"/>
              <w:ind w:hanging="258" w:left="305" w:right="239"/>
              <w:contextualSpacing/>
              <w:jc w:val="left"/>
              <w:rPr>
                <w:b/>
                <w:sz w:val="17"/>
              </w:rPr>
            </w:pPr>
            <w:r>
              <w:rPr>
                <w:b/>
                <w:kern w:val="0"/>
                <w:sz w:val="17"/>
                <w:szCs w:val="22"/>
                <w:lang w:eastAsia="en-US" w:bidi="ar-SA"/>
              </w:rPr>
              <w:t>17. Higiena i choroby układu krwionośnego</w:t>
            </w:r>
          </w:p>
        </w:tc>
        <w:tc>
          <w:tcPr>
            <w:tcW w:w="2171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93"/>
              </w:numPr>
              <w:tabs>
                <w:tab w:val="clear" w:pos="720"/>
                <w:tab w:val="left" w:pos="221" w:leader="none"/>
              </w:tabs>
              <w:spacing w:lineRule="auto" w:line="235" w:before="61" w:after="0"/>
              <w:ind w:hanging="170" w:left="220" w:right="276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wymienia choroby układu krwionośnego</w:t>
            </w:r>
          </w:p>
          <w:p>
            <w:pPr>
              <w:pStyle w:val="TableParagraph"/>
              <w:widowControl w:val="false"/>
              <w:numPr>
                <w:ilvl w:val="0"/>
                <w:numId w:val="93"/>
              </w:numPr>
              <w:tabs>
                <w:tab w:val="clear" w:pos="720"/>
                <w:tab w:val="left" w:pos="221" w:leader="none"/>
              </w:tabs>
              <w:spacing w:lineRule="auto" w:line="235" w:before="0" w:after="0"/>
              <w:ind w:hanging="170" w:left="220" w:right="324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omawia pierwszą pomoc w wypadku krwawień i krwotoków</w:t>
            </w:r>
          </w:p>
        </w:tc>
        <w:tc>
          <w:tcPr>
            <w:tcW w:w="21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94"/>
              </w:numPr>
              <w:tabs>
                <w:tab w:val="clear" w:pos="720"/>
                <w:tab w:val="left" w:pos="220" w:leader="none"/>
              </w:tabs>
              <w:spacing w:lineRule="auto" w:line="235" w:before="61" w:after="0"/>
              <w:ind w:hanging="170" w:left="220" w:right="118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wymienia przyczyny chorób układu krwionośnego</w:t>
            </w:r>
          </w:p>
          <w:p>
            <w:pPr>
              <w:pStyle w:val="TableParagraph"/>
              <w:widowControl w:val="false"/>
              <w:numPr>
                <w:ilvl w:val="0"/>
                <w:numId w:val="94"/>
              </w:numPr>
              <w:tabs>
                <w:tab w:val="clear" w:pos="720"/>
                <w:tab w:val="left" w:pos="220" w:leader="none"/>
              </w:tabs>
              <w:spacing w:lineRule="auto" w:line="235" w:before="0" w:after="0"/>
              <w:ind w:hanging="170" w:left="220" w:right="483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wymienia czynniki wpływające korzystnie na funkcjonowanie układu</w:t>
            </w:r>
          </w:p>
        </w:tc>
        <w:tc>
          <w:tcPr>
            <w:tcW w:w="2410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95"/>
              </w:numPr>
              <w:tabs>
                <w:tab w:val="clear" w:pos="720"/>
                <w:tab w:val="left" w:pos="220" w:leader="none"/>
                <w:tab w:val="left" w:pos="1988" w:leader="none"/>
              </w:tabs>
              <w:spacing w:lineRule="auto" w:line="235" w:before="61" w:after="0"/>
              <w:ind w:hanging="170" w:left="219" w:right="186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analizuje przyczyny chorób układu krwionośnego</w:t>
            </w:r>
          </w:p>
          <w:p>
            <w:pPr>
              <w:pStyle w:val="TableParagraph"/>
              <w:widowControl w:val="false"/>
              <w:numPr>
                <w:ilvl w:val="0"/>
                <w:numId w:val="95"/>
              </w:numPr>
              <w:tabs>
                <w:tab w:val="clear" w:pos="720"/>
                <w:tab w:val="left" w:pos="220" w:leader="none"/>
              </w:tabs>
              <w:spacing w:lineRule="auto" w:line="235" w:before="0" w:after="0"/>
              <w:ind w:hanging="170" w:left="219" w:right="492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charakteryzuje objawy krwotoku żylnego i tętniczego</w:t>
            </w:r>
          </w:p>
          <w:p>
            <w:pPr>
              <w:pStyle w:val="TableParagraph"/>
              <w:widowControl w:val="false"/>
              <w:numPr>
                <w:ilvl w:val="0"/>
                <w:numId w:val="95"/>
              </w:numPr>
              <w:tabs>
                <w:tab w:val="clear" w:pos="720"/>
                <w:tab w:val="left" w:pos="220" w:leader="none"/>
              </w:tabs>
              <w:spacing w:lineRule="auto" w:line="235" w:before="1" w:after="0"/>
              <w:ind w:hanging="170" w:left="219" w:right="496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przedstawia znaczenie aktywności fizycznej i prawidłowej diety dla właściwego funkcjonowania układu krwionośnego</w:t>
            </w:r>
          </w:p>
        </w:tc>
        <w:tc>
          <w:tcPr>
            <w:tcW w:w="226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96"/>
              </w:numPr>
              <w:tabs>
                <w:tab w:val="clear" w:pos="720"/>
                <w:tab w:val="left" w:pos="220" w:leader="none"/>
              </w:tabs>
              <w:spacing w:lineRule="auto" w:line="235" w:before="0" w:after="0"/>
              <w:ind w:hanging="170" w:left="219" w:right="515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demonstruje pierwszą pomoc w wypadku krwotoków</w:t>
            </w:r>
          </w:p>
          <w:p>
            <w:pPr>
              <w:pStyle w:val="TableParagraph"/>
              <w:widowControl w:val="false"/>
              <w:numPr>
                <w:ilvl w:val="0"/>
                <w:numId w:val="96"/>
              </w:numPr>
              <w:tabs>
                <w:tab w:val="clear" w:pos="720"/>
                <w:tab w:val="left" w:pos="220" w:leader="none"/>
              </w:tabs>
              <w:spacing w:lineRule="auto" w:line="235" w:before="0" w:after="0"/>
              <w:ind w:hanging="170" w:left="219" w:right="302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wyjaśnia znaczenie badań profilaktycznych chorób układu krwionośnego</w:t>
            </w:r>
          </w:p>
        </w:tc>
        <w:tc>
          <w:tcPr>
            <w:tcW w:w="2280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97"/>
              </w:numPr>
              <w:tabs>
                <w:tab w:val="clear" w:pos="720"/>
                <w:tab w:val="left" w:pos="220" w:leader="none"/>
              </w:tabs>
              <w:spacing w:lineRule="exact" w:line="206" w:before="57" w:after="0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 xml:space="preserve">wyszukuje i prezentuje w dowolnej formie materiały edukacyjne oświaty zdrowotnej na temat chorób społecznych: miażdżycy, nadciśnienia tętniczego </w:t>
            </w:r>
            <w:r>
              <w:rPr>
                <w:iCs/>
                <w:kern w:val="0"/>
                <w:sz w:val="17"/>
                <w:szCs w:val="22"/>
                <w:lang w:eastAsia="en-US" w:bidi="ar-SA"/>
              </w:rPr>
              <w:t>i </w:t>
            </w:r>
            <w:r>
              <w:rPr>
                <w:kern w:val="0"/>
                <w:sz w:val="17"/>
                <w:szCs w:val="22"/>
                <w:lang w:eastAsia="en-US" w:bidi="ar-SA"/>
              </w:rPr>
              <w:t>zawałów serca</w:t>
            </w:r>
          </w:p>
        </w:tc>
      </w:tr>
      <w:tr>
        <w:trPr>
          <w:trHeight w:val="416" w:hRule="atLeast"/>
        </w:trPr>
        <w:tc>
          <w:tcPr>
            <w:tcW w:w="624" w:type="dxa"/>
            <w:vMerge w:val="continue"/>
            <w:tcBorders>
              <w:left w:val="single" w:sz="6" w:space="0" w:color="BCBEC0"/>
              <w:bottom w:val="single" w:sz="4" w:space="0" w:color="BCBEC0"/>
              <w:right w:val="single" w:sz="6" w:space="0" w:color="BCBEC0"/>
            </w:tcBorders>
            <w:shd w:color="auto" w:fill="auto" w:val="clear"/>
            <w:textDirection w:val="btLr"/>
          </w:tcPr>
          <w:p>
            <w:pPr>
              <w:pStyle w:val="Normal"/>
              <w:widowControl w:val="false"/>
              <w:spacing w:before="0" w:after="0"/>
              <w:contextualSpacing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878" w:type="dxa"/>
            <w:tcBorders>
              <w:top w:val="single" w:sz="4" w:space="0" w:color="BCBEC0"/>
              <w:left w:val="single" w:sz="4" w:space="0" w:color="BCBEC0"/>
              <w:bottom w:val="single" w:sz="6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pacing w:before="57" w:after="0"/>
              <w:ind w:hanging="0" w:left="49"/>
              <w:contextualSpacing/>
              <w:jc w:val="left"/>
              <w:rPr>
                <w:b/>
                <w:sz w:val="17"/>
              </w:rPr>
            </w:pPr>
            <w:r>
              <w:rPr>
                <w:b/>
                <w:kern w:val="0"/>
                <w:sz w:val="17"/>
                <w:szCs w:val="22"/>
                <w:lang w:eastAsia="en-US" w:bidi="ar-SA"/>
              </w:rPr>
              <w:t>18. Układ limfatyczny</w:t>
            </w:r>
          </w:p>
          <w:p>
            <w:pPr>
              <w:pStyle w:val="TableParagraph"/>
              <w:widowControl w:val="false"/>
              <w:spacing w:before="57" w:after="0"/>
              <w:ind w:hanging="0" w:left="49"/>
              <w:contextualSpacing/>
              <w:jc w:val="left"/>
              <w:rPr>
                <w:b/>
                <w:sz w:val="17"/>
              </w:rPr>
            </w:pPr>
            <w:r>
              <w:rPr>
                <w:b/>
                <w:kern w:val="0"/>
                <w:sz w:val="17"/>
                <w:szCs w:val="22"/>
                <w:lang w:eastAsia="en-US" w:bidi="ar-SA"/>
              </w:rPr>
              <w:t>(Układ odpornościowy)</w:t>
            </w:r>
          </w:p>
        </w:tc>
        <w:tc>
          <w:tcPr>
            <w:tcW w:w="2171" w:type="dxa"/>
            <w:tcBorders>
              <w:top w:val="single" w:sz="4" w:space="0" w:color="BCBEC0"/>
              <w:left w:val="single" w:sz="4" w:space="0" w:color="BCBEC0"/>
              <w:bottom w:val="single" w:sz="6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98"/>
              </w:numPr>
              <w:tabs>
                <w:tab w:val="clear" w:pos="720"/>
                <w:tab w:val="left" w:pos="220" w:leader="none"/>
              </w:tabs>
              <w:spacing w:lineRule="auto" w:line="235" w:before="61" w:after="0"/>
              <w:ind w:hanging="170" w:left="219" w:right="452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wymienia cechy układu limfatycznego</w:t>
            </w:r>
          </w:p>
          <w:p>
            <w:pPr>
              <w:pStyle w:val="TableParagraph"/>
              <w:widowControl w:val="false"/>
              <w:numPr>
                <w:ilvl w:val="0"/>
                <w:numId w:val="98"/>
              </w:numPr>
              <w:tabs>
                <w:tab w:val="clear" w:pos="720"/>
                <w:tab w:val="left" w:pos="220" w:leader="none"/>
              </w:tabs>
              <w:spacing w:lineRule="auto" w:line="235" w:before="0" w:after="0"/>
              <w:ind w:hanging="170" w:left="219" w:right="311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nazywa  narządy tworzące  układ</w:t>
            </w:r>
          </w:p>
        </w:tc>
        <w:tc>
          <w:tcPr>
            <w:tcW w:w="2127" w:type="dxa"/>
            <w:tcBorders>
              <w:top w:val="single" w:sz="4" w:space="0" w:color="BCBEC0"/>
              <w:left w:val="single" w:sz="4" w:space="0" w:color="BCBEC0"/>
              <w:bottom w:val="single" w:sz="6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99"/>
              </w:numPr>
              <w:tabs>
                <w:tab w:val="clear" w:pos="720"/>
                <w:tab w:val="left" w:pos="220" w:leader="none"/>
              </w:tabs>
              <w:spacing w:lineRule="auto" w:line="235" w:before="61" w:after="0"/>
              <w:ind w:hanging="170" w:left="219" w:right="452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opisuje budowę układu limfatycznego</w:t>
            </w:r>
          </w:p>
          <w:p>
            <w:pPr>
              <w:pStyle w:val="TableParagraph"/>
              <w:widowControl w:val="false"/>
              <w:numPr>
                <w:ilvl w:val="0"/>
                <w:numId w:val="99"/>
              </w:numPr>
              <w:tabs>
                <w:tab w:val="clear" w:pos="720"/>
                <w:tab w:val="left" w:pos="220" w:leader="none"/>
              </w:tabs>
              <w:spacing w:lineRule="auto" w:line="235" w:before="0" w:after="0"/>
              <w:ind w:hanging="170" w:left="219" w:right="596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omawia rolę węzłów chłonnych</w:t>
            </w:r>
          </w:p>
        </w:tc>
        <w:tc>
          <w:tcPr>
            <w:tcW w:w="2410" w:type="dxa"/>
            <w:tcBorders>
              <w:top w:val="single" w:sz="4" w:space="0" w:color="BCBEC0"/>
              <w:left w:val="single" w:sz="4" w:space="0" w:color="BCBEC0"/>
              <w:bottom w:val="single" w:sz="6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100"/>
              </w:numPr>
              <w:tabs>
                <w:tab w:val="clear" w:pos="720"/>
                <w:tab w:val="left" w:pos="220" w:leader="none"/>
              </w:tabs>
              <w:spacing w:lineRule="auto" w:line="235" w:before="61" w:after="0"/>
              <w:ind w:hanging="170" w:left="219" w:right="740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opisuje rolę układu limfatycznego</w:t>
            </w:r>
          </w:p>
          <w:p>
            <w:pPr>
              <w:pStyle w:val="TableParagraph"/>
              <w:widowControl w:val="false"/>
              <w:numPr>
                <w:ilvl w:val="0"/>
                <w:numId w:val="100"/>
              </w:numPr>
              <w:tabs>
                <w:tab w:val="clear" w:pos="720"/>
                <w:tab w:val="left" w:pos="220" w:leader="none"/>
              </w:tabs>
              <w:spacing w:lineRule="auto" w:line="235" w:before="61" w:after="0"/>
              <w:ind w:hanging="170" w:left="219" w:right="740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wskazuje przykładową lokalizację węzłów chłonnych</w:t>
            </w:r>
          </w:p>
        </w:tc>
        <w:tc>
          <w:tcPr>
            <w:tcW w:w="2267" w:type="dxa"/>
            <w:tcBorders>
              <w:top w:val="single" w:sz="4" w:space="0" w:color="BCBEC0"/>
              <w:left w:val="single" w:sz="4" w:space="0" w:color="BCBEC0"/>
              <w:bottom w:val="single" w:sz="6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101"/>
              </w:numPr>
              <w:tabs>
                <w:tab w:val="clear" w:pos="720"/>
                <w:tab w:val="left" w:pos="220" w:leader="none"/>
              </w:tabs>
              <w:spacing w:lineRule="auto" w:line="235" w:before="61" w:after="0"/>
              <w:ind w:hanging="170" w:left="219" w:right="282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rozpoznaje na ilustracji lub schemacie narządy układu limfatycznego</w:t>
            </w:r>
          </w:p>
          <w:p>
            <w:pPr>
              <w:pStyle w:val="TableParagraph"/>
              <w:widowControl w:val="false"/>
              <w:numPr>
                <w:ilvl w:val="0"/>
                <w:numId w:val="102"/>
              </w:numPr>
              <w:tabs>
                <w:tab w:val="clear" w:pos="720"/>
                <w:tab w:val="left" w:pos="220" w:leader="none"/>
              </w:tabs>
              <w:spacing w:lineRule="auto" w:line="235" w:before="61" w:after="0"/>
              <w:ind w:hanging="170" w:left="219" w:right="66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porównuje układ limfatyczny z układem krwionośnym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220" w:leader="none"/>
              </w:tabs>
              <w:spacing w:lineRule="auto" w:line="235" w:before="61" w:after="0"/>
              <w:ind w:hanging="0" w:left="219" w:right="282"/>
              <w:contextualSpacing/>
              <w:jc w:val="left"/>
              <w:rPr>
                <w:sz w:val="17"/>
              </w:rPr>
            </w:pPr>
            <w:r>
              <w:rPr>
                <w:sz w:val="17"/>
              </w:rPr>
            </w:r>
          </w:p>
        </w:tc>
        <w:tc>
          <w:tcPr>
            <w:tcW w:w="2280" w:type="dxa"/>
            <w:tcBorders>
              <w:top w:val="single" w:sz="4" w:space="0" w:color="BCBEC0"/>
              <w:left w:val="single" w:sz="4" w:space="0" w:color="BCBEC0"/>
              <w:bottom w:val="single" w:sz="6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102"/>
              </w:numPr>
              <w:tabs>
                <w:tab w:val="clear" w:pos="720"/>
                <w:tab w:val="left" w:pos="220" w:leader="none"/>
              </w:tabs>
              <w:spacing w:lineRule="auto" w:line="235" w:before="61" w:after="0"/>
              <w:ind w:hanging="170" w:left="219" w:right="66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wykazuje, że układy krwionośny i limfatyczny stanowią integralną całość</w:t>
            </w:r>
          </w:p>
          <w:p>
            <w:pPr>
              <w:pStyle w:val="TableParagraph"/>
              <w:widowControl w:val="false"/>
              <w:numPr>
                <w:ilvl w:val="0"/>
                <w:numId w:val="102"/>
              </w:numPr>
              <w:tabs>
                <w:tab w:val="clear" w:pos="720"/>
                <w:tab w:val="left" w:pos="220" w:leader="none"/>
              </w:tabs>
              <w:spacing w:lineRule="auto" w:line="235" w:before="61" w:after="0"/>
              <w:ind w:hanging="170" w:left="219" w:right="66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7"/>
                <w:szCs w:val="22"/>
                <w:lang w:eastAsia="en-US" w:bidi="ar-SA"/>
              </w:rPr>
              <w:t>wyjaśnia mechanizm powstawania chłonki</w:t>
            </w:r>
          </w:p>
        </w:tc>
      </w:tr>
    </w:tbl>
    <w:p>
      <w:pPr>
        <w:sectPr>
          <w:footerReference w:type="even" r:id="rId17"/>
          <w:footerReference w:type="default" r:id="rId18"/>
          <w:footerReference w:type="first" r:id="rId19"/>
          <w:type w:val="nextPage"/>
          <w:pgSz w:orient="landscape" w:w="15600" w:h="11630"/>
          <w:pgMar w:left="0" w:right="880" w:gutter="0" w:header="0" w:top="0" w:footer="708" w:bottom="765"/>
          <w:pgNumType w:fmt="decimal"/>
          <w:formProt w:val="false"/>
          <w:textDirection w:val="lrTb"/>
          <w:docGrid w:type="default" w:linePitch="100" w:charSpace="0"/>
        </w:sectPr>
      </w:pPr>
    </w:p>
    <w:tbl>
      <w:tblPr>
        <w:tblStyle w:val="TableNormal"/>
        <w:tblW w:w="13749" w:type="dxa"/>
        <w:jc w:val="left"/>
        <w:tblInd w:w="110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 w:firstRow="1" w:noVBand="0" w:lastRow="1" w:firstColumn="1" w:lastColumn="1" w:noHBand="0"/>
      </w:tblPr>
      <w:tblGrid>
        <w:gridCol w:w="624"/>
        <w:gridCol w:w="1878"/>
        <w:gridCol w:w="2171"/>
        <w:gridCol w:w="2268"/>
        <w:gridCol w:w="2268"/>
        <w:gridCol w:w="2268"/>
        <w:gridCol w:w="2272"/>
      </w:tblGrid>
      <w:tr>
        <w:trPr>
          <w:trHeight w:val="400" w:hRule="atLeast"/>
        </w:trPr>
        <w:tc>
          <w:tcPr>
            <w:tcW w:w="624" w:type="dxa"/>
            <w:vMerge w:val="restart"/>
            <w:tcBorders>
              <w:top w:val="single" w:sz="4" w:space="0" w:color="BCBEC0"/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pacing w:before="5" w:after="0"/>
              <w:ind w:hanging="0" w:left="0"/>
              <w:contextualSpacing/>
              <w:jc w:val="left"/>
              <w:rPr>
                <w:rFonts w:ascii="Humanst521EU" w:hAnsi="Humanst521EU"/>
                <w:b/>
                <w:sz w:val="24"/>
              </w:rPr>
            </w:pPr>
            <w:r>
              <w:rPr>
                <w:rFonts w:ascii="Humanst521EU" w:hAnsi="Humanst521EU"/>
                <w:b/>
                <w:sz w:val="24"/>
              </w:rPr>
            </w:r>
          </w:p>
          <w:p>
            <w:pPr>
              <w:pStyle w:val="TableParagraph"/>
              <w:widowControl w:val="false"/>
              <w:spacing w:before="0" w:after="0"/>
              <w:ind w:hanging="0" w:left="109"/>
              <w:contextualSpacing/>
              <w:jc w:val="left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Dział</w:t>
            </w:r>
          </w:p>
        </w:tc>
        <w:tc>
          <w:tcPr>
            <w:tcW w:w="1878" w:type="dxa"/>
            <w:vMerge w:val="restart"/>
            <w:tcBorders>
              <w:top w:val="single" w:sz="4" w:space="0" w:color="BCBEC0"/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pacing w:before="5" w:after="0"/>
              <w:ind w:hanging="0" w:left="0"/>
              <w:contextualSpacing/>
              <w:jc w:val="left"/>
              <w:rPr>
                <w:rFonts w:ascii="Humanst521EU" w:hAnsi="Humanst521EU"/>
                <w:b/>
                <w:sz w:val="24"/>
              </w:rPr>
            </w:pPr>
            <w:r>
              <w:rPr>
                <w:rFonts w:ascii="Humanst521EU" w:hAnsi="Humanst521EU"/>
                <w:b/>
                <w:sz w:val="24"/>
              </w:rPr>
            </w:r>
          </w:p>
          <w:p>
            <w:pPr>
              <w:pStyle w:val="TableParagraph"/>
              <w:widowControl w:val="false"/>
              <w:spacing w:before="0" w:after="0"/>
              <w:ind w:hanging="0" w:left="613" w:right="613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Temat</w:t>
            </w:r>
          </w:p>
        </w:tc>
        <w:tc>
          <w:tcPr>
            <w:tcW w:w="11247" w:type="dxa"/>
            <w:gridSpan w:val="5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pacing w:before="92" w:after="0"/>
              <w:ind w:hanging="0" w:left="4975" w:right="4975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Poziom wymagań</w:t>
            </w:r>
          </w:p>
        </w:tc>
      </w:tr>
      <w:tr>
        <w:trPr>
          <w:trHeight w:val="380" w:hRule="atLeast"/>
        </w:trPr>
        <w:tc>
          <w:tcPr>
            <w:tcW w:w="624" w:type="dxa"/>
            <w:vMerge w:val="continue"/>
            <w:tcBorders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contextualSpacing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878" w:type="dxa"/>
            <w:vMerge w:val="continue"/>
            <w:tcBorders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contextualSpacing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171" w:type="dxa"/>
            <w:tcBorders>
              <w:top w:val="single" w:sz="4" w:space="0" w:color="BCBEC0"/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pacing w:before="87" w:after="0"/>
              <w:ind w:hanging="0" w:left="334"/>
              <w:contextualSpacing/>
              <w:jc w:val="left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ocena dopuszczająca</w:t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pacing w:before="87" w:after="0"/>
              <w:ind w:hanging="0" w:left="418"/>
              <w:contextualSpacing/>
              <w:jc w:val="left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ocena dostateczna</w:t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pacing w:before="87" w:after="0"/>
              <w:ind w:hanging="0" w:left="656"/>
              <w:contextualSpacing/>
              <w:jc w:val="left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ocena dobra</w:t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pacing w:before="87" w:after="0"/>
              <w:ind w:hanging="0" w:left="365"/>
              <w:contextualSpacing/>
              <w:jc w:val="left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ocena bardzo dobra</w:t>
            </w:r>
          </w:p>
        </w:tc>
        <w:tc>
          <w:tcPr>
            <w:tcW w:w="2272" w:type="dxa"/>
            <w:tcBorders>
              <w:top w:val="single" w:sz="4" w:space="0" w:color="BCBEC0"/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pacing w:before="87" w:after="0"/>
              <w:ind w:hanging="0" w:left="576"/>
              <w:contextualSpacing/>
              <w:jc w:val="left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ocena celująca</w:t>
            </w:r>
          </w:p>
        </w:tc>
      </w:tr>
      <w:tr>
        <w:trPr>
          <w:trHeight w:val="1540" w:hRule="atLeast"/>
        </w:trPr>
        <w:tc>
          <w:tcPr>
            <w:tcW w:w="624" w:type="dxa"/>
            <w:vMerge w:val="restart"/>
            <w:tcBorders>
              <w:top w:val="single" w:sz="8" w:space="0" w:color="FDB515"/>
              <w:left w:val="single" w:sz="6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  <w:textDirection w:val="btLr"/>
          </w:tcPr>
          <w:p>
            <w:pPr>
              <w:pStyle w:val="TableParagraph"/>
              <w:widowControl w:val="false"/>
              <w:spacing w:before="9" w:after="0"/>
              <w:ind w:hanging="0" w:left="0"/>
              <w:contextualSpacing/>
              <w:jc w:val="left"/>
              <w:rPr>
                <w:rFonts w:ascii="Humanst521EU" w:hAnsi="Humanst521EU"/>
                <w:b/>
                <w:sz w:val="15"/>
              </w:rPr>
            </w:pPr>
            <w:r>
              <w:rPr>
                <w:rFonts w:ascii="Humanst521EU" w:hAnsi="Humanst521EU"/>
                <w:b/>
                <w:sz w:val="15"/>
              </w:rPr>
            </w:r>
          </w:p>
          <w:p>
            <w:pPr>
              <w:pStyle w:val="TableParagraph"/>
              <w:widowControl w:val="false"/>
              <w:spacing w:before="1" w:after="0"/>
              <w:ind w:hanging="0" w:left="787"/>
              <w:contextualSpacing/>
              <w:jc w:val="left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spacing w:val="-23"/>
                <w:kern w:val="0"/>
                <w:sz w:val="17"/>
                <w:szCs w:val="22"/>
                <w:lang w:eastAsia="en-US" w:bidi="ar-SA"/>
              </w:rPr>
              <w:t>IV</w:t>
            </w: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. Układ krążenia</w:t>
            </w:r>
          </w:p>
        </w:tc>
        <w:tc>
          <w:tcPr>
            <w:tcW w:w="1878" w:type="dxa"/>
            <w:tcBorders>
              <w:top w:val="single" w:sz="8" w:space="0" w:color="FDB515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pacing w:lineRule="exact" w:line="206" w:before="57" w:after="0"/>
              <w:ind w:hanging="255" w:left="306"/>
              <w:contextualSpacing/>
              <w:jc w:val="left"/>
              <w:rPr>
                <w:b/>
                <w:sz w:val="17"/>
              </w:rPr>
            </w:pPr>
            <w:r>
              <w:rPr>
                <w:b/>
                <w:kern w:val="0"/>
                <w:sz w:val="17"/>
                <w:szCs w:val="22"/>
                <w:lang w:eastAsia="en-US" w:bidi="ar-SA"/>
              </w:rPr>
              <w:t>19. Budowa i funkcjonowanie układu odpornościowego</w:t>
            </w:r>
          </w:p>
        </w:tc>
        <w:tc>
          <w:tcPr>
            <w:tcW w:w="2171" w:type="dxa"/>
            <w:tcBorders>
              <w:top w:val="single" w:sz="8" w:space="0" w:color="FDB515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103"/>
              </w:numPr>
              <w:tabs>
                <w:tab w:val="clear" w:pos="720"/>
                <w:tab w:val="left" w:pos="222" w:leader="none"/>
              </w:tabs>
              <w:spacing w:lineRule="auto" w:line="235" w:before="0" w:after="0"/>
              <w:ind w:hanging="170" w:left="221" w:right="529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wymienia rodzaje odporności</w:t>
            </w:r>
          </w:p>
          <w:p>
            <w:pPr>
              <w:pStyle w:val="TableParagraph"/>
              <w:widowControl w:val="false"/>
              <w:numPr>
                <w:ilvl w:val="0"/>
                <w:numId w:val="103"/>
              </w:numPr>
              <w:tabs>
                <w:tab w:val="clear" w:pos="720"/>
                <w:tab w:val="left" w:pos="222" w:leader="none"/>
              </w:tabs>
              <w:spacing w:lineRule="auto" w:line="235" w:before="0" w:after="0"/>
              <w:ind w:hanging="170" w:left="221" w:right="122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wyjaśnia  rolę szczepionki</w:t>
            </w:r>
          </w:p>
        </w:tc>
        <w:tc>
          <w:tcPr>
            <w:tcW w:w="2268" w:type="dxa"/>
            <w:tcBorders>
              <w:top w:val="single" w:sz="8" w:space="0" w:color="FDB515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104"/>
              </w:numPr>
              <w:tabs>
                <w:tab w:val="clear" w:pos="720"/>
                <w:tab w:val="left" w:pos="222" w:leader="none"/>
              </w:tabs>
              <w:spacing w:lineRule="exact" w:line="202" w:before="0" w:after="0"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wyróżnia odporności wrodzoną  i nabytą</w:t>
            </w:r>
          </w:p>
          <w:p>
            <w:pPr>
              <w:pStyle w:val="TableParagraph"/>
              <w:widowControl w:val="false"/>
              <w:numPr>
                <w:ilvl w:val="0"/>
                <w:numId w:val="105"/>
              </w:numPr>
              <w:tabs>
                <w:tab w:val="clear" w:pos="720"/>
                <w:tab w:val="left" w:pos="222" w:leader="none"/>
              </w:tabs>
              <w:spacing w:lineRule="auto" w:line="235" w:before="61" w:after="0"/>
              <w:ind w:hanging="170" w:left="221" w:right="75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określa szczepionkę  czynnik odpowiadający za odporność nabytą</w:t>
            </w:r>
          </w:p>
        </w:tc>
        <w:tc>
          <w:tcPr>
            <w:tcW w:w="2268" w:type="dxa"/>
            <w:tcBorders>
              <w:top w:val="single" w:sz="8" w:space="0" w:color="FDB515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106"/>
              </w:numPr>
              <w:tabs>
                <w:tab w:val="clear" w:pos="720"/>
                <w:tab w:val="left" w:pos="222" w:leader="none"/>
              </w:tabs>
              <w:spacing w:lineRule="auto" w:line="235" w:before="61" w:after="0"/>
              <w:ind w:hanging="170" w:left="221" w:right="297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omawia rolę elementów układu odpornościowego</w:t>
            </w:r>
          </w:p>
          <w:p>
            <w:pPr>
              <w:pStyle w:val="TableParagraph"/>
              <w:widowControl w:val="false"/>
              <w:numPr>
                <w:ilvl w:val="0"/>
                <w:numId w:val="106"/>
              </w:numPr>
              <w:tabs>
                <w:tab w:val="clear" w:pos="720"/>
                <w:tab w:val="left" w:pos="222" w:leader="none"/>
              </w:tabs>
              <w:spacing w:lineRule="auto" w:line="235" w:before="0" w:after="0"/>
              <w:ind w:hanging="170" w:left="221" w:right="472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charakteryzuje rodzaje odporności</w:t>
            </w:r>
          </w:p>
          <w:p>
            <w:pPr>
              <w:pStyle w:val="TableParagraph"/>
              <w:widowControl w:val="false"/>
              <w:numPr>
                <w:ilvl w:val="0"/>
                <w:numId w:val="106"/>
              </w:numPr>
              <w:tabs>
                <w:tab w:val="clear" w:pos="720"/>
                <w:tab w:val="left" w:pos="222" w:leader="none"/>
              </w:tabs>
              <w:spacing w:lineRule="auto" w:line="235" w:before="0" w:after="0"/>
              <w:ind w:hanging="170" w:left="221" w:right="417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określa zasadę działania szczepionki</w:t>
            </w:r>
          </w:p>
        </w:tc>
        <w:tc>
          <w:tcPr>
            <w:tcW w:w="2268" w:type="dxa"/>
            <w:tcBorders>
              <w:top w:val="single" w:sz="8" w:space="0" w:color="FDB515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107"/>
              </w:numPr>
              <w:tabs>
                <w:tab w:val="clear" w:pos="720"/>
                <w:tab w:val="left" w:pos="222" w:leader="none"/>
              </w:tabs>
              <w:spacing w:lineRule="exact" w:line="202" w:before="0" w:after="0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opisuje rodzaje leukocytów</w:t>
            </w:r>
          </w:p>
          <w:p>
            <w:pPr>
              <w:pStyle w:val="TableParagraph"/>
              <w:widowControl w:val="false"/>
              <w:numPr>
                <w:ilvl w:val="0"/>
                <w:numId w:val="104"/>
              </w:numPr>
              <w:tabs>
                <w:tab w:val="clear" w:pos="720"/>
                <w:tab w:val="left" w:pos="222" w:leader="none"/>
              </w:tabs>
              <w:spacing w:lineRule="auto" w:line="235" w:before="3" w:after="0"/>
              <w:ind w:hanging="170" w:left="221" w:right="739"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uzasadnia konieczność obowiązkowych szczepień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222" w:leader="none"/>
              </w:tabs>
              <w:spacing w:lineRule="auto" w:line="235" w:before="3" w:after="0"/>
              <w:ind w:hanging="0" w:left="221" w:right="399"/>
              <w:contextualSpacing/>
              <w:jc w:val="left"/>
              <w:rPr>
                <w:sz w:val="17"/>
              </w:rPr>
            </w:pPr>
            <w:r>
              <w:rPr>
                <w:sz w:val="17"/>
              </w:rPr>
            </w:r>
          </w:p>
        </w:tc>
        <w:tc>
          <w:tcPr>
            <w:tcW w:w="2272" w:type="dxa"/>
            <w:tcBorders>
              <w:top w:val="single" w:sz="8" w:space="0" w:color="FDB515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108"/>
              </w:numPr>
              <w:tabs>
                <w:tab w:val="clear" w:pos="720"/>
                <w:tab w:val="left" w:pos="222" w:leader="none"/>
              </w:tabs>
              <w:spacing w:lineRule="exact" w:line="206" w:before="57" w:after="0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analizuje wykaz szczepień w swojej książeczce zdrowia</w:t>
            </w:r>
          </w:p>
          <w:p>
            <w:pPr>
              <w:pStyle w:val="TableParagraph"/>
              <w:widowControl w:val="false"/>
              <w:numPr>
                <w:ilvl w:val="0"/>
                <w:numId w:val="108"/>
              </w:numPr>
              <w:tabs>
                <w:tab w:val="clear" w:pos="720"/>
                <w:tab w:val="left" w:pos="222" w:leader="none"/>
              </w:tabs>
              <w:spacing w:lineRule="exact" w:line="206" w:before="0" w:after="0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ocenia znaczenie szczepień</w:t>
            </w:r>
          </w:p>
        </w:tc>
      </w:tr>
      <w:tr>
        <w:trPr>
          <w:trHeight w:val="1340" w:hRule="atLeast"/>
        </w:trPr>
        <w:tc>
          <w:tcPr>
            <w:tcW w:w="624" w:type="dxa"/>
            <w:vMerge w:val="continue"/>
            <w:tcBorders>
              <w:left w:val="single" w:sz="6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  <w:textDirection w:val="btLr"/>
          </w:tcPr>
          <w:p>
            <w:pPr>
              <w:pStyle w:val="Normal"/>
              <w:widowControl w:val="false"/>
              <w:spacing w:before="0" w:after="0"/>
              <w:contextualSpacing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878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pacing w:lineRule="auto" w:line="235" w:before="61" w:after="0"/>
              <w:ind w:hanging="258" w:left="308" w:right="73"/>
              <w:contextualSpacing/>
              <w:jc w:val="left"/>
              <w:rPr>
                <w:b/>
                <w:sz w:val="17"/>
              </w:rPr>
            </w:pPr>
            <w:r>
              <w:rPr>
                <w:b/>
                <w:kern w:val="0"/>
                <w:sz w:val="17"/>
                <w:szCs w:val="22"/>
                <w:lang w:eastAsia="en-US" w:bidi="ar-SA"/>
              </w:rPr>
              <w:t>20. Zaburzenia funkcjonowania układu odpornościowego</w:t>
            </w:r>
          </w:p>
        </w:tc>
        <w:tc>
          <w:tcPr>
            <w:tcW w:w="2171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109"/>
              </w:numPr>
              <w:tabs>
                <w:tab w:val="clear" w:pos="720"/>
                <w:tab w:val="left" w:pos="222" w:leader="none"/>
              </w:tabs>
              <w:spacing w:lineRule="auto" w:line="235" w:before="61" w:after="0"/>
              <w:ind w:hanging="170" w:left="221" w:right="216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wymienia czynniki mogące wywołać alergie</w:t>
            </w:r>
          </w:p>
          <w:p>
            <w:pPr>
              <w:pStyle w:val="TableParagraph"/>
              <w:widowControl w:val="false"/>
              <w:numPr>
                <w:ilvl w:val="0"/>
                <w:numId w:val="109"/>
              </w:numPr>
              <w:tabs>
                <w:tab w:val="clear" w:pos="720"/>
                <w:tab w:val="left" w:pos="222" w:leader="none"/>
              </w:tabs>
              <w:spacing w:lineRule="exact" w:line="204" w:before="0" w:after="0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opisuje objawy alergii</w:t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110"/>
              </w:numPr>
              <w:tabs>
                <w:tab w:val="clear" w:pos="720"/>
                <w:tab w:val="left" w:pos="222" w:leader="none"/>
              </w:tabs>
              <w:spacing w:lineRule="auto" w:line="235" w:before="61" w:after="0"/>
              <w:ind w:hanging="170" w:left="221" w:right="191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określa przyczynę choroby AIDS</w:t>
            </w:r>
          </w:p>
          <w:p>
            <w:pPr>
              <w:pStyle w:val="TableParagraph"/>
              <w:widowControl w:val="false"/>
              <w:numPr>
                <w:ilvl w:val="0"/>
                <w:numId w:val="110"/>
              </w:numPr>
              <w:tabs>
                <w:tab w:val="clear" w:pos="720"/>
                <w:tab w:val="left" w:pos="222" w:leader="none"/>
              </w:tabs>
              <w:spacing w:lineRule="auto" w:line="235" w:before="0" w:after="0"/>
              <w:ind w:hanging="170" w:left="221" w:right="326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wyjaśnia, na czym polega transplantacja narządów</w:t>
            </w:r>
          </w:p>
          <w:p>
            <w:pPr>
              <w:pStyle w:val="TableParagraph"/>
              <w:widowControl w:val="false"/>
              <w:numPr>
                <w:ilvl w:val="0"/>
                <w:numId w:val="110"/>
              </w:numPr>
              <w:tabs>
                <w:tab w:val="clear" w:pos="720"/>
                <w:tab w:val="left" w:pos="222" w:leader="none"/>
              </w:tabs>
              <w:spacing w:lineRule="auto" w:line="235" w:before="0" w:after="0"/>
              <w:ind w:hanging="170" w:left="221" w:right="120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podaje przykłady narządów, które można przeszczepiać</w:t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111"/>
              </w:numPr>
              <w:tabs>
                <w:tab w:val="clear" w:pos="720"/>
                <w:tab w:val="left" w:pos="221" w:leader="none"/>
              </w:tabs>
              <w:spacing w:lineRule="auto" w:line="235" w:before="0" w:after="0"/>
              <w:ind w:hanging="170" w:left="220" w:right="312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wskazuje drogi zakażeń HIV</w:t>
            </w:r>
          </w:p>
          <w:p>
            <w:pPr>
              <w:pStyle w:val="TableParagraph"/>
              <w:widowControl w:val="false"/>
              <w:numPr>
                <w:ilvl w:val="0"/>
                <w:numId w:val="111"/>
              </w:numPr>
              <w:tabs>
                <w:tab w:val="clear" w:pos="720"/>
                <w:tab w:val="left" w:pos="221" w:leader="none"/>
              </w:tabs>
              <w:spacing w:lineRule="auto" w:line="235" w:before="0" w:after="0"/>
              <w:ind w:hanging="170" w:left="220" w:right="110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wskazuje zasady profilaktyki zakażeń HIV</w:t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112"/>
              </w:numPr>
              <w:tabs>
                <w:tab w:val="clear" w:pos="720"/>
                <w:tab w:val="left" w:pos="221" w:leader="none"/>
              </w:tabs>
              <w:spacing w:lineRule="auto" w:line="235" w:before="61" w:after="0"/>
              <w:ind w:hanging="170" w:left="220" w:right="131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uzasadnia, że alergia jest związana z nadwrażliwością układu odpornościowego</w:t>
            </w:r>
          </w:p>
          <w:p>
            <w:pPr>
              <w:pStyle w:val="TableParagraph"/>
              <w:widowControl w:val="false"/>
              <w:numPr>
                <w:ilvl w:val="0"/>
                <w:numId w:val="112"/>
              </w:numPr>
              <w:tabs>
                <w:tab w:val="clear" w:pos="720"/>
                <w:tab w:val="left" w:pos="221" w:leader="none"/>
              </w:tabs>
              <w:spacing w:lineRule="auto" w:line="235" w:before="0" w:after="0"/>
              <w:ind w:hanging="170" w:left="220" w:right="278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ilustruje przykładami znaczenie transplantologii</w:t>
            </w:r>
          </w:p>
        </w:tc>
        <w:tc>
          <w:tcPr>
            <w:tcW w:w="2272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113"/>
              </w:numPr>
              <w:tabs>
                <w:tab w:val="clear" w:pos="720"/>
                <w:tab w:val="left" w:pos="221" w:leader="none"/>
              </w:tabs>
              <w:spacing w:lineRule="auto" w:line="235" w:before="61" w:after="0"/>
              <w:ind w:hanging="170" w:left="220" w:right="168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przedstawia znaczenie przeszczepów</w:t>
            </w:r>
          </w:p>
          <w:p>
            <w:pPr>
              <w:pStyle w:val="TableParagraph"/>
              <w:widowControl w:val="false"/>
              <w:numPr>
                <w:ilvl w:val="0"/>
                <w:numId w:val="113"/>
              </w:numPr>
              <w:tabs>
                <w:tab w:val="clear" w:pos="720"/>
                <w:tab w:val="left" w:pos="221" w:leader="none"/>
              </w:tabs>
              <w:spacing w:lineRule="auto" w:line="235" w:before="61" w:after="0"/>
              <w:ind w:hanging="170" w:left="220" w:right="168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ocenia wyrażanie zgody na transplantację narządów po śmierci</w:t>
            </w:r>
          </w:p>
        </w:tc>
      </w:tr>
      <w:tr>
        <w:trPr>
          <w:trHeight w:val="1540" w:hRule="atLeast"/>
        </w:trPr>
        <w:tc>
          <w:tcPr>
            <w:tcW w:w="624" w:type="dxa"/>
            <w:vMerge w:val="restart"/>
            <w:tcBorders>
              <w:top w:val="single" w:sz="4" w:space="0" w:color="BCBEC0"/>
              <w:left w:val="single" w:sz="6" w:space="0" w:color="BCBEC0"/>
              <w:bottom w:val="single" w:sz="4" w:space="0" w:color="BCBEC0"/>
              <w:right w:val="single" w:sz="6" w:space="0" w:color="BCBEC0"/>
            </w:tcBorders>
            <w:shd w:color="auto" w:fill="auto" w:val="clear"/>
            <w:textDirection w:val="btLr"/>
          </w:tcPr>
          <w:p>
            <w:pPr>
              <w:pStyle w:val="TableParagraph"/>
              <w:widowControl w:val="false"/>
              <w:spacing w:before="9" w:after="0"/>
              <w:ind w:hanging="0" w:left="0"/>
              <w:contextualSpacing/>
              <w:jc w:val="left"/>
              <w:rPr>
                <w:rFonts w:ascii="Humanst521EU" w:hAnsi="Humanst521EU"/>
                <w:b/>
                <w:sz w:val="15"/>
              </w:rPr>
            </w:pPr>
            <w:r>
              <w:rPr>
                <w:rFonts w:ascii="Humanst521EU" w:hAnsi="Humanst521EU"/>
                <w:b/>
                <w:sz w:val="15"/>
              </w:rPr>
            </w:r>
          </w:p>
          <w:p>
            <w:pPr>
              <w:pStyle w:val="TableParagraph"/>
              <w:widowControl w:val="false"/>
              <w:spacing w:before="1" w:after="0"/>
              <w:ind w:hanging="0" w:left="2173"/>
              <w:contextualSpacing/>
              <w:jc w:val="left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V. Układ oddechowy</w:t>
            </w:r>
          </w:p>
        </w:tc>
        <w:tc>
          <w:tcPr>
            <w:tcW w:w="1878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pacing w:lineRule="auto" w:line="235" w:before="61" w:after="0"/>
              <w:ind w:hanging="258" w:left="309" w:right="464"/>
              <w:contextualSpacing/>
              <w:jc w:val="left"/>
              <w:rPr>
                <w:b/>
                <w:sz w:val="17"/>
              </w:rPr>
            </w:pPr>
            <w:r>
              <w:rPr>
                <w:b/>
                <w:kern w:val="0"/>
                <w:sz w:val="17"/>
                <w:szCs w:val="22"/>
                <w:lang w:eastAsia="en-US" w:bidi="ar-SA"/>
              </w:rPr>
              <w:t>21. Budowa i rola układu oddechowego</w:t>
            </w:r>
          </w:p>
        </w:tc>
        <w:tc>
          <w:tcPr>
            <w:tcW w:w="2171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114"/>
              </w:numPr>
              <w:tabs>
                <w:tab w:val="clear" w:pos="720"/>
                <w:tab w:val="left" w:pos="222" w:leader="none"/>
              </w:tabs>
              <w:spacing w:lineRule="auto" w:line="235" w:before="61" w:after="0"/>
              <w:ind w:hanging="170" w:left="221" w:right="351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wymienia odcinki układu oddechowego</w:t>
            </w:r>
          </w:p>
          <w:p>
            <w:pPr>
              <w:pStyle w:val="TableParagraph"/>
              <w:widowControl w:val="false"/>
              <w:numPr>
                <w:ilvl w:val="0"/>
                <w:numId w:val="114"/>
              </w:numPr>
              <w:tabs>
                <w:tab w:val="clear" w:pos="720"/>
                <w:tab w:val="left" w:pos="222" w:leader="none"/>
              </w:tabs>
              <w:spacing w:lineRule="auto" w:line="235" w:before="0" w:after="0"/>
              <w:ind w:hanging="170" w:left="221" w:right="469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rozpoznaje na ilustracji narządy układu oddechowego</w:t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115"/>
              </w:numPr>
              <w:tabs>
                <w:tab w:val="clear" w:pos="720"/>
                <w:tab w:val="left" w:pos="222" w:leader="none"/>
              </w:tabs>
              <w:spacing w:lineRule="auto" w:line="235" w:before="61" w:after="0"/>
              <w:ind w:hanging="170" w:left="221" w:right="144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omawia funkcje elementów układu oddechowego</w:t>
            </w:r>
          </w:p>
          <w:p>
            <w:pPr>
              <w:pStyle w:val="TableParagraph"/>
              <w:widowControl w:val="false"/>
              <w:numPr>
                <w:ilvl w:val="0"/>
                <w:numId w:val="115"/>
              </w:numPr>
              <w:tabs>
                <w:tab w:val="clear" w:pos="720"/>
                <w:tab w:val="left" w:pos="222" w:leader="none"/>
              </w:tabs>
              <w:spacing w:lineRule="exact" w:line="202" w:before="0" w:after="0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opisuje rolę nagłośni</w:t>
            </w:r>
          </w:p>
          <w:p>
            <w:pPr>
              <w:pStyle w:val="TableParagraph"/>
              <w:widowControl w:val="false"/>
              <w:numPr>
                <w:ilvl w:val="0"/>
                <w:numId w:val="115"/>
              </w:numPr>
              <w:tabs>
                <w:tab w:val="clear" w:pos="720"/>
                <w:tab w:val="left" w:pos="222" w:leader="none"/>
              </w:tabs>
              <w:spacing w:lineRule="auto" w:line="235" w:before="3" w:after="0"/>
              <w:ind w:hanging="170" w:left="221" w:right="196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na podstawie własnego organizmu przedstawia mechanizm wentylacji płuc</w:t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116"/>
              </w:numPr>
              <w:tabs>
                <w:tab w:val="clear" w:pos="720"/>
                <w:tab w:val="left" w:pos="222" w:leader="none"/>
              </w:tabs>
              <w:spacing w:lineRule="auto" w:line="235" w:before="61" w:after="0"/>
              <w:ind w:hanging="170" w:left="221" w:right="157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wyróżnia drogi oddechowe i narządy wymiany gazowej</w:t>
            </w:r>
          </w:p>
          <w:p>
            <w:pPr>
              <w:pStyle w:val="TableParagraph"/>
              <w:widowControl w:val="false"/>
              <w:numPr>
                <w:ilvl w:val="0"/>
                <w:numId w:val="116"/>
              </w:numPr>
              <w:tabs>
                <w:tab w:val="clear" w:pos="720"/>
                <w:tab w:val="left" w:pos="222" w:leader="none"/>
              </w:tabs>
              <w:spacing w:lineRule="auto" w:line="235" w:before="0" w:after="0"/>
              <w:ind w:hanging="170" w:left="221" w:right="141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wykazuje związek budowy elementów układu oddechowego z pełnionymi funkcjami</w:t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117"/>
              </w:numPr>
              <w:tabs>
                <w:tab w:val="clear" w:pos="720"/>
                <w:tab w:val="left" w:pos="222" w:leader="none"/>
              </w:tabs>
              <w:spacing w:lineRule="exact" w:line="206" w:before="57" w:after="0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odróżnia głośnię i nagłośnię</w:t>
            </w:r>
          </w:p>
          <w:p>
            <w:pPr>
              <w:pStyle w:val="TableParagraph"/>
              <w:widowControl w:val="false"/>
              <w:numPr>
                <w:ilvl w:val="0"/>
                <w:numId w:val="117"/>
              </w:numPr>
              <w:tabs>
                <w:tab w:val="clear" w:pos="720"/>
                <w:tab w:val="left" w:pos="222" w:leader="none"/>
              </w:tabs>
              <w:spacing w:lineRule="auto" w:line="235" w:before="2" w:after="0"/>
              <w:ind w:hanging="170" w:left="221" w:right="341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demonstruje mechanizm modulacji głosu</w:t>
            </w:r>
          </w:p>
          <w:p>
            <w:pPr>
              <w:pStyle w:val="TableParagraph"/>
              <w:widowControl w:val="false"/>
              <w:numPr>
                <w:ilvl w:val="0"/>
                <w:numId w:val="117"/>
              </w:numPr>
              <w:tabs>
                <w:tab w:val="clear" w:pos="720"/>
                <w:tab w:val="left" w:pos="222" w:leader="none"/>
              </w:tabs>
              <w:spacing w:lineRule="auto" w:line="235" w:before="0" w:after="0"/>
              <w:ind w:hanging="170" w:left="221" w:right="172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definiuje płuca jako miejsce zachodzenia wymiany gazowej</w:t>
            </w:r>
          </w:p>
          <w:p>
            <w:pPr>
              <w:pStyle w:val="TableParagraph"/>
              <w:widowControl w:val="false"/>
              <w:numPr>
                <w:ilvl w:val="0"/>
                <w:numId w:val="117"/>
              </w:numPr>
              <w:tabs>
                <w:tab w:val="clear" w:pos="720"/>
                <w:tab w:val="left" w:pos="222" w:leader="none"/>
              </w:tabs>
              <w:spacing w:lineRule="auto" w:line="235" w:before="0" w:after="0"/>
              <w:ind w:hanging="170" w:left="221" w:right="267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wykazuje związek między budową a funkcją płuc</w:t>
            </w:r>
          </w:p>
        </w:tc>
        <w:tc>
          <w:tcPr>
            <w:tcW w:w="2272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118"/>
              </w:numPr>
              <w:tabs>
                <w:tab w:val="clear" w:pos="720"/>
                <w:tab w:val="left" w:pos="222" w:leader="none"/>
              </w:tabs>
              <w:spacing w:lineRule="auto" w:line="235" w:before="61" w:after="0"/>
              <w:ind w:hanging="170" w:left="221" w:right="283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wykonuje z dowolnych materiałów model układu oddechowego</w:t>
            </w:r>
          </w:p>
          <w:p>
            <w:pPr>
              <w:pStyle w:val="TableParagraph"/>
              <w:widowControl w:val="false"/>
              <w:numPr>
                <w:ilvl w:val="0"/>
                <w:numId w:val="118"/>
              </w:numPr>
              <w:tabs>
                <w:tab w:val="clear" w:pos="720"/>
                <w:tab w:val="left" w:pos="222" w:leader="none"/>
              </w:tabs>
              <w:spacing w:lineRule="auto" w:line="235" w:before="0" w:after="0"/>
              <w:ind w:hanging="170" w:left="221" w:right="272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wyszukuje odpowiednie metody i bada pojemność własnych płuc</w:t>
            </w:r>
          </w:p>
        </w:tc>
      </w:tr>
      <w:tr>
        <w:trPr>
          <w:trHeight w:val="3675" w:hRule="atLeast"/>
        </w:trPr>
        <w:tc>
          <w:tcPr>
            <w:tcW w:w="624" w:type="dxa"/>
            <w:vMerge w:val="continue"/>
            <w:tcBorders>
              <w:left w:val="single" w:sz="6" w:space="0" w:color="BCBEC0"/>
              <w:bottom w:val="single" w:sz="4" w:space="0" w:color="BCBEC0"/>
              <w:right w:val="single" w:sz="6" w:space="0" w:color="BCBEC0"/>
            </w:tcBorders>
            <w:shd w:color="auto" w:fill="auto" w:val="clear"/>
            <w:textDirection w:val="btLr"/>
          </w:tcPr>
          <w:p>
            <w:pPr>
              <w:pStyle w:val="Normal"/>
              <w:widowControl w:val="false"/>
              <w:spacing w:before="0" w:after="0"/>
              <w:contextualSpacing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878" w:type="dxa"/>
            <w:tcBorders>
              <w:top w:val="single" w:sz="4" w:space="0" w:color="BCBEC0"/>
              <w:left w:val="single" w:sz="6" w:space="0" w:color="BCBEC0"/>
              <w:bottom w:val="single" w:sz="6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pacing w:lineRule="auto" w:line="235" w:before="61" w:after="0"/>
              <w:ind w:hanging="258" w:left="306" w:right="230"/>
              <w:contextualSpacing/>
              <w:jc w:val="left"/>
              <w:rPr>
                <w:b/>
                <w:sz w:val="17"/>
              </w:rPr>
            </w:pPr>
            <w:r>
              <w:rPr>
                <w:b/>
                <w:kern w:val="0"/>
                <w:sz w:val="17"/>
                <w:szCs w:val="22"/>
                <w:lang w:eastAsia="en-US" w:bidi="ar-SA"/>
              </w:rPr>
              <w:t>22. Mechanizm oddychania</w:t>
            </w:r>
          </w:p>
        </w:tc>
        <w:tc>
          <w:tcPr>
            <w:tcW w:w="2171" w:type="dxa"/>
            <w:tcBorders>
              <w:top w:val="single" w:sz="4" w:space="0" w:color="BCBEC0"/>
              <w:left w:val="single" w:sz="4" w:space="0" w:color="BCBEC0"/>
              <w:bottom w:val="single" w:sz="6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119"/>
              </w:numPr>
              <w:tabs>
                <w:tab w:val="clear" w:pos="720"/>
                <w:tab w:val="left" w:pos="222" w:leader="none"/>
              </w:tabs>
              <w:spacing w:lineRule="auto" w:line="235" w:before="61" w:after="0"/>
              <w:ind w:hanging="170" w:left="221" w:right="116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wymienia narządy biorące udział w procesie wentylacji płuc</w:t>
            </w:r>
          </w:p>
          <w:p>
            <w:pPr>
              <w:pStyle w:val="TableParagraph"/>
              <w:widowControl w:val="false"/>
              <w:numPr>
                <w:ilvl w:val="0"/>
                <w:numId w:val="119"/>
              </w:numPr>
              <w:tabs>
                <w:tab w:val="clear" w:pos="720"/>
                <w:tab w:val="left" w:pos="222" w:leader="none"/>
              </w:tabs>
              <w:spacing w:lineRule="auto" w:line="235" w:before="0" w:after="0"/>
              <w:ind w:hanging="170" w:left="221" w:right="561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demonstruje na sobie mechanizm wdechu i wydechu</w:t>
            </w:r>
          </w:p>
          <w:p>
            <w:pPr>
              <w:pStyle w:val="TableParagraph"/>
              <w:widowControl w:val="false"/>
              <w:numPr>
                <w:ilvl w:val="0"/>
                <w:numId w:val="119"/>
              </w:numPr>
              <w:tabs>
                <w:tab w:val="clear" w:pos="720"/>
                <w:tab w:val="left" w:pos="222" w:leader="none"/>
              </w:tabs>
              <w:spacing w:lineRule="auto" w:line="226" w:before="11" w:after="0"/>
              <w:ind w:hanging="170" w:left="221" w:right="90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z pomocą nauczyciela omawia doświadczenie wykrywające obecność CO</w:t>
            </w:r>
            <w:r>
              <w:rPr>
                <w:kern w:val="0"/>
                <w:position w:val="-3"/>
                <w:sz w:val="12"/>
                <w:szCs w:val="22"/>
                <w:lang w:eastAsia="en-US" w:bidi="ar-SA"/>
              </w:rPr>
              <w:t>2</w:t>
            </w:r>
            <w:r>
              <w:rPr>
                <w:kern w:val="0"/>
                <w:sz w:val="17"/>
                <w:szCs w:val="22"/>
                <w:lang w:eastAsia="en-US" w:bidi="ar-SA"/>
              </w:rPr>
              <w:t>w wydychanym powietrzu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222" w:leader="none"/>
              </w:tabs>
              <w:spacing w:lineRule="auto" w:line="235" w:before="61" w:after="0"/>
              <w:ind w:hanging="0" w:left="221" w:right="355"/>
              <w:contextualSpacing/>
              <w:jc w:val="left"/>
              <w:rPr>
                <w:sz w:val="17"/>
              </w:rPr>
            </w:pPr>
            <w:r>
              <w:rPr>
                <w:sz w:val="17"/>
              </w:rPr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6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120"/>
              </w:numPr>
              <w:tabs>
                <w:tab w:val="clear" w:pos="720"/>
                <w:tab w:val="left" w:pos="222" w:leader="none"/>
              </w:tabs>
              <w:spacing w:lineRule="auto" w:line="235" w:before="61" w:after="0"/>
              <w:ind w:hanging="170" w:left="221" w:right="102"/>
              <w:contextualSpacing/>
              <w:jc w:val="both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wskazuje różnice w ruchach klatki piersiowej i przepony podczas wdechu i wydechu</w:t>
            </w:r>
          </w:p>
          <w:p>
            <w:pPr>
              <w:pStyle w:val="TableParagraph"/>
              <w:widowControl w:val="false"/>
              <w:numPr>
                <w:ilvl w:val="0"/>
                <w:numId w:val="120"/>
              </w:numPr>
              <w:tabs>
                <w:tab w:val="clear" w:pos="720"/>
                <w:tab w:val="left" w:pos="222" w:leader="none"/>
              </w:tabs>
              <w:spacing w:lineRule="auto" w:line="235" w:before="0" w:after="0"/>
              <w:ind w:hanging="170" w:left="221" w:right="539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przedstawia rolę krwi w transporcie gazów oddechowych</w:t>
            </w:r>
          </w:p>
          <w:p>
            <w:pPr>
              <w:pStyle w:val="TableParagraph"/>
              <w:widowControl w:val="false"/>
              <w:numPr>
                <w:ilvl w:val="0"/>
                <w:numId w:val="120"/>
              </w:numPr>
              <w:tabs>
                <w:tab w:val="clear" w:pos="720"/>
                <w:tab w:val="left" w:pos="222" w:leader="none"/>
              </w:tabs>
              <w:spacing w:lineRule="auto" w:line="235" w:before="0" w:after="0"/>
              <w:ind w:hanging="170" w:left="221" w:right="271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omawia zawartość gazów w powietrzu wdychanym i wydychanym</w:t>
            </w:r>
          </w:p>
          <w:p>
            <w:pPr>
              <w:pStyle w:val="TableParagraph"/>
              <w:widowControl w:val="false"/>
              <w:numPr>
                <w:ilvl w:val="0"/>
                <w:numId w:val="120"/>
              </w:numPr>
              <w:tabs>
                <w:tab w:val="clear" w:pos="720"/>
                <w:tab w:val="left" w:pos="222" w:leader="none"/>
              </w:tabs>
              <w:spacing w:lineRule="auto" w:line="235" w:before="1" w:after="0"/>
              <w:ind w:hanging="170" w:left="221" w:right="95"/>
              <w:contextualSpacing/>
              <w:jc w:val="left"/>
              <w:rPr>
                <w:sz w:val="12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z pomocą nauczyciela przeprowadza doświadczenie wykrywające obecność CO</w:t>
            </w:r>
            <w:r>
              <w:rPr>
                <w:kern w:val="0"/>
                <w:position w:val="-3"/>
                <w:sz w:val="12"/>
                <w:szCs w:val="22"/>
                <w:lang w:eastAsia="en-US" w:bidi="ar-SA"/>
              </w:rPr>
              <w:t>2</w:t>
            </w:r>
          </w:p>
          <w:p>
            <w:pPr>
              <w:pStyle w:val="TableParagraph"/>
              <w:widowControl w:val="false"/>
              <w:spacing w:lineRule="exact" w:line="176" w:before="0" w:after="0"/>
              <w:ind w:hanging="0" w:left="221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 wydychanym powietrzu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222" w:leader="none"/>
              </w:tabs>
              <w:spacing w:lineRule="auto" w:line="235" w:before="0" w:after="0"/>
              <w:ind w:hanging="0" w:left="221" w:right="271"/>
              <w:contextualSpacing/>
              <w:jc w:val="left"/>
              <w:rPr>
                <w:sz w:val="17"/>
              </w:rPr>
            </w:pPr>
            <w:r>
              <w:rPr>
                <w:sz w:val="17"/>
              </w:rPr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6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121"/>
              </w:numPr>
              <w:tabs>
                <w:tab w:val="clear" w:pos="720"/>
                <w:tab w:val="left" w:pos="222" w:leader="none"/>
              </w:tabs>
              <w:spacing w:lineRule="auto" w:line="235" w:before="61" w:after="0"/>
              <w:ind w:hanging="170" w:left="221" w:right="129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rozróżnia  procesy wentylacji płuc i oddychania komórkowego</w:t>
            </w:r>
          </w:p>
          <w:p>
            <w:pPr>
              <w:pStyle w:val="TableParagraph"/>
              <w:widowControl w:val="false"/>
              <w:numPr>
                <w:ilvl w:val="0"/>
                <w:numId w:val="121"/>
              </w:numPr>
              <w:tabs>
                <w:tab w:val="clear" w:pos="720"/>
                <w:tab w:val="left" w:pos="222" w:leader="none"/>
              </w:tabs>
              <w:spacing w:lineRule="auto" w:line="221" w:before="10" w:after="0"/>
              <w:ind w:hanging="170" w:left="221" w:right="93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opisuje dyfuzję O</w:t>
            </w:r>
            <w:r>
              <w:rPr>
                <w:kern w:val="0"/>
                <w:position w:val="-3"/>
                <w:sz w:val="12"/>
                <w:szCs w:val="22"/>
                <w:lang w:eastAsia="en-US" w:bidi="ar-SA"/>
              </w:rPr>
              <w:t xml:space="preserve">2 </w:t>
            </w:r>
            <w:r>
              <w:rPr>
                <w:kern w:val="0"/>
                <w:sz w:val="17"/>
                <w:szCs w:val="22"/>
                <w:lang w:eastAsia="en-US" w:bidi="ar-SA"/>
              </w:rPr>
              <w:t>i CO</w:t>
            </w:r>
            <w:r>
              <w:rPr>
                <w:kern w:val="0"/>
                <w:position w:val="-3"/>
                <w:sz w:val="12"/>
                <w:szCs w:val="22"/>
                <w:lang w:eastAsia="en-US" w:bidi="ar-SA"/>
              </w:rPr>
              <w:t xml:space="preserve">2 </w:t>
            </w:r>
            <w:r>
              <w:rPr>
                <w:kern w:val="0"/>
                <w:sz w:val="17"/>
                <w:szCs w:val="22"/>
                <w:lang w:eastAsia="en-US" w:bidi="ar-SA"/>
              </w:rPr>
              <w:t>zachodzącą w pęcherzykach płucnych</w:t>
            </w:r>
          </w:p>
          <w:p>
            <w:pPr>
              <w:pStyle w:val="TableParagraph"/>
              <w:widowControl w:val="false"/>
              <w:numPr>
                <w:ilvl w:val="0"/>
                <w:numId w:val="121"/>
              </w:numPr>
              <w:tabs>
                <w:tab w:val="clear" w:pos="720"/>
                <w:tab w:val="left" w:pos="222" w:leader="none"/>
              </w:tabs>
              <w:spacing w:lineRule="auto" w:line="235" w:before="0" w:after="0"/>
              <w:ind w:hanging="170" w:left="221" w:right="95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na przygotowanym sprzęcie samodzielnie przeprowadza doświadczenie wykrywające obecność CO</w:t>
            </w:r>
            <w:r>
              <w:rPr>
                <w:kern w:val="0"/>
                <w:position w:val="-3"/>
                <w:sz w:val="12"/>
                <w:szCs w:val="22"/>
                <w:lang w:eastAsia="en-US" w:bidi="ar-SA"/>
              </w:rPr>
              <w:t>2</w:t>
            </w:r>
            <w:r>
              <w:rPr>
                <w:kern w:val="0"/>
                <w:sz w:val="17"/>
                <w:szCs w:val="22"/>
                <w:lang w:eastAsia="en-US" w:bidi="ar-SA"/>
              </w:rPr>
              <w:t xml:space="preserve"> w wydychanym powietrzu</w:t>
            </w:r>
          </w:p>
          <w:p>
            <w:pPr>
              <w:pStyle w:val="TableParagraph"/>
              <w:widowControl w:val="false"/>
              <w:numPr>
                <w:ilvl w:val="0"/>
                <w:numId w:val="122"/>
              </w:numPr>
              <w:tabs>
                <w:tab w:val="clear" w:pos="720"/>
                <w:tab w:val="left" w:pos="222" w:leader="none"/>
              </w:tabs>
              <w:spacing w:lineRule="auto" w:line="235" w:before="61" w:after="0"/>
              <w:ind w:hanging="170" w:left="221" w:right="208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określa znaczenie oddychania komórkowego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222" w:leader="none"/>
              </w:tabs>
              <w:spacing w:lineRule="auto" w:line="235" w:before="0" w:after="0"/>
              <w:ind w:hanging="0" w:left="221" w:right="138"/>
              <w:contextualSpacing/>
              <w:jc w:val="left"/>
              <w:rPr>
                <w:sz w:val="17"/>
              </w:rPr>
            </w:pPr>
            <w:r>
              <w:rPr>
                <w:sz w:val="17"/>
              </w:rPr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6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123"/>
              </w:numPr>
              <w:tabs>
                <w:tab w:val="clear" w:pos="720"/>
                <w:tab w:val="left" w:pos="222" w:leader="none"/>
              </w:tabs>
              <w:spacing w:lineRule="auto" w:line="235" w:before="61" w:after="0"/>
              <w:ind w:hanging="170" w:left="221" w:right="253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interpretuje wyniki doświadczenia wykrywającego CO</w:t>
            </w:r>
            <w:r>
              <w:rPr>
                <w:kern w:val="0"/>
                <w:position w:val="-3"/>
                <w:sz w:val="12"/>
                <w:szCs w:val="22"/>
                <w:lang w:eastAsia="en-US" w:bidi="ar-SA"/>
              </w:rPr>
              <w:t>2</w:t>
            </w:r>
            <w:r>
              <w:rPr>
                <w:kern w:val="0"/>
                <w:sz w:val="17"/>
                <w:szCs w:val="22"/>
                <w:lang w:eastAsia="en-US" w:bidi="ar-SA"/>
              </w:rPr>
              <w:t xml:space="preserve"> w wydychanym powietrzu</w:t>
            </w:r>
          </w:p>
          <w:p>
            <w:pPr>
              <w:pStyle w:val="TableParagraph"/>
              <w:widowControl w:val="false"/>
              <w:numPr>
                <w:ilvl w:val="0"/>
                <w:numId w:val="123"/>
              </w:numPr>
              <w:tabs>
                <w:tab w:val="clear" w:pos="720"/>
                <w:tab w:val="left" w:pos="222" w:leader="none"/>
              </w:tabs>
              <w:spacing w:lineRule="auto" w:line="235" w:before="1" w:after="0"/>
              <w:ind w:hanging="170" w:left="221" w:right="100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analizuje proces wymiany gazowej w płucach i tkankach</w:t>
            </w:r>
          </w:p>
          <w:p>
            <w:pPr>
              <w:pStyle w:val="TableParagraph"/>
              <w:widowControl w:val="false"/>
              <w:numPr>
                <w:ilvl w:val="0"/>
                <w:numId w:val="123"/>
              </w:numPr>
              <w:tabs>
                <w:tab w:val="clear" w:pos="720"/>
                <w:tab w:val="left" w:pos="222" w:leader="none"/>
              </w:tabs>
              <w:spacing w:lineRule="auto" w:line="235" w:before="0" w:after="0"/>
              <w:ind w:hanging="170" w:left="221" w:right="160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samodzielnie przygotowuje zestaw laboratoryjny i przeprowadza doświadczenie wykazujące obecność CO</w:t>
            </w:r>
            <w:r>
              <w:rPr>
                <w:kern w:val="0"/>
                <w:position w:val="-3"/>
                <w:sz w:val="12"/>
                <w:szCs w:val="22"/>
                <w:lang w:eastAsia="en-US" w:bidi="ar-SA"/>
              </w:rPr>
              <w:t xml:space="preserve">2 </w:t>
            </w:r>
            <w:r>
              <w:rPr>
                <w:kern w:val="0"/>
                <w:sz w:val="17"/>
                <w:szCs w:val="22"/>
                <w:lang w:eastAsia="en-US" w:bidi="ar-SA"/>
              </w:rPr>
              <w:t>w wydychanym powietrzu</w:t>
            </w:r>
          </w:p>
        </w:tc>
        <w:tc>
          <w:tcPr>
            <w:tcW w:w="2272" w:type="dxa"/>
            <w:tcBorders>
              <w:top w:val="single" w:sz="4" w:space="0" w:color="BCBEC0"/>
              <w:left w:val="single" w:sz="4" w:space="0" w:color="BCBEC0"/>
              <w:bottom w:val="single" w:sz="6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119"/>
              </w:numPr>
              <w:tabs>
                <w:tab w:val="clear" w:pos="720"/>
                <w:tab w:val="left" w:pos="222" w:leader="none"/>
              </w:tabs>
              <w:spacing w:lineRule="auto" w:line="235" w:before="61" w:after="0"/>
              <w:ind w:hanging="170" w:left="221" w:right="355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definiuje mitochondrium jako miejsce oddychania komórkowego</w:t>
            </w:r>
          </w:p>
          <w:p>
            <w:pPr>
              <w:pStyle w:val="TableParagraph"/>
              <w:widowControl w:val="false"/>
              <w:numPr>
                <w:ilvl w:val="0"/>
                <w:numId w:val="124"/>
              </w:numPr>
              <w:tabs>
                <w:tab w:val="clear" w:pos="720"/>
                <w:tab w:val="left" w:pos="222" w:leader="none"/>
              </w:tabs>
              <w:spacing w:lineRule="auto" w:line="235" w:before="61" w:after="0"/>
              <w:ind w:hanging="170" w:left="221" w:right="317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opisuje zależność między ilością mitochondriów a zapotrzebowaniem narządów na energię</w:t>
            </w:r>
          </w:p>
          <w:p>
            <w:pPr>
              <w:pStyle w:val="TableParagraph"/>
              <w:widowControl w:val="false"/>
              <w:numPr>
                <w:ilvl w:val="0"/>
                <w:numId w:val="124"/>
              </w:numPr>
              <w:tabs>
                <w:tab w:val="clear" w:pos="720"/>
                <w:tab w:val="left" w:pos="222" w:leader="none"/>
              </w:tabs>
              <w:spacing w:lineRule="auto" w:line="235" w:before="61" w:after="0"/>
              <w:ind w:hanging="170" w:left="221" w:right="317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zapisuje za pomocą symboli chemicznych równanie reakcji ilustrujące utlenianie glukozy</w:t>
            </w:r>
          </w:p>
        </w:tc>
      </w:tr>
    </w:tbl>
    <w:p>
      <w:pPr>
        <w:sectPr>
          <w:footerReference w:type="even" r:id="rId20"/>
          <w:footerReference w:type="default" r:id="rId21"/>
          <w:footerReference w:type="first" r:id="rId22"/>
          <w:type w:val="nextPage"/>
          <w:pgSz w:orient="landscape" w:w="15600" w:h="11630"/>
          <w:pgMar w:left="740" w:right="880" w:gutter="0" w:header="0" w:top="840" w:footer="708" w:bottom="765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BodyText"/>
        <w:spacing w:before="0" w:after="0"/>
        <w:ind w:left="963"/>
        <w:contextualSpacing/>
        <w:rPr>
          <w:rFonts w:ascii="Humanst521EU" w:hAnsi="Humanst521EU"/>
          <w:i w:val="false"/>
          <w:sz w:val="20"/>
        </w:rPr>
      </w:pPr>
      <w:r>
        <w:rPr>
          <w:rFonts w:ascii="Humanst521EU" w:hAnsi="Humanst521EU"/>
          <w:i w:val="false"/>
          <w:sz w:val="20"/>
        </w:rPr>
      </w:r>
    </w:p>
    <w:p>
      <w:pPr>
        <w:pStyle w:val="BodyText"/>
        <w:spacing w:before="0" w:after="0"/>
        <w:contextualSpacing/>
        <w:rPr>
          <w:rFonts w:ascii="Humanst521EU" w:hAnsi="Humanst521EU"/>
          <w:b/>
          <w:i w:val="false"/>
          <w:sz w:val="20"/>
        </w:rPr>
      </w:pPr>
      <w:r>
        <w:rPr>
          <w:rFonts w:ascii="Humanst521EU" w:hAnsi="Humanst521EU"/>
          <w:b/>
          <w:i w:val="false"/>
          <w:sz w:val="20"/>
        </w:rPr>
      </w:r>
    </w:p>
    <w:p>
      <w:pPr>
        <w:pStyle w:val="BodyText"/>
        <w:spacing w:before="1" w:after="1"/>
        <w:contextualSpacing/>
        <w:rPr>
          <w:rFonts w:ascii="Humanst521EU" w:hAnsi="Humanst521EU"/>
          <w:b/>
          <w:i w:val="false"/>
          <w:sz w:val="24"/>
        </w:rPr>
      </w:pPr>
      <w:r>
        <w:rPr>
          <w:rFonts w:ascii="Humanst521EU" w:hAnsi="Humanst521EU"/>
          <w:b/>
          <w:i w:val="false"/>
          <w:sz w:val="24"/>
        </w:rPr>
      </w:r>
    </w:p>
    <w:tbl>
      <w:tblPr>
        <w:tblStyle w:val="TableNormal"/>
        <w:tblW w:w="13745" w:type="dxa"/>
        <w:jc w:val="left"/>
        <w:tblInd w:w="850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 w:firstRow="1" w:noVBand="0" w:lastRow="1" w:firstColumn="1" w:lastColumn="1" w:noHBand="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>
        <w:trPr>
          <w:trHeight w:val="400" w:hRule="atLeast"/>
        </w:trPr>
        <w:tc>
          <w:tcPr>
            <w:tcW w:w="624" w:type="dxa"/>
            <w:vMerge w:val="restart"/>
            <w:tcBorders>
              <w:top w:val="single" w:sz="4" w:space="0" w:color="BCBEC0"/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pacing w:before="5" w:after="0"/>
              <w:ind w:hanging="0" w:left="0"/>
              <w:contextualSpacing/>
              <w:jc w:val="left"/>
              <w:rPr>
                <w:rFonts w:ascii="Humanst521EU" w:hAnsi="Humanst521EU"/>
                <w:b/>
                <w:sz w:val="24"/>
              </w:rPr>
            </w:pPr>
            <w:r>
              <w:rPr>
                <w:rFonts w:ascii="Humanst521EU" w:hAnsi="Humanst521EU"/>
                <w:b/>
                <w:sz w:val="24"/>
              </w:rPr>
            </w:r>
          </w:p>
          <w:p>
            <w:pPr>
              <w:pStyle w:val="TableParagraph"/>
              <w:widowControl w:val="false"/>
              <w:spacing w:before="0" w:after="0"/>
              <w:ind w:hanging="0" w:left="109"/>
              <w:contextualSpacing/>
              <w:jc w:val="left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Dział</w:t>
            </w:r>
          </w:p>
        </w:tc>
        <w:tc>
          <w:tcPr>
            <w:tcW w:w="1781" w:type="dxa"/>
            <w:vMerge w:val="restart"/>
            <w:tcBorders>
              <w:top w:val="single" w:sz="4" w:space="0" w:color="BCBEC0"/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pacing w:before="5" w:after="0"/>
              <w:ind w:hanging="0" w:left="0"/>
              <w:contextualSpacing/>
              <w:jc w:val="left"/>
              <w:rPr>
                <w:rFonts w:ascii="Humanst521EU" w:hAnsi="Humanst521EU"/>
                <w:b/>
                <w:sz w:val="24"/>
              </w:rPr>
            </w:pPr>
            <w:r>
              <w:rPr>
                <w:rFonts w:ascii="Humanst521EU" w:hAnsi="Humanst521EU"/>
                <w:b/>
                <w:sz w:val="24"/>
              </w:rPr>
            </w:r>
          </w:p>
          <w:p>
            <w:pPr>
              <w:pStyle w:val="TableParagraph"/>
              <w:widowControl w:val="false"/>
              <w:spacing w:before="0" w:after="0"/>
              <w:ind w:hanging="0" w:left="613" w:right="613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Temat</w:t>
            </w:r>
          </w:p>
        </w:tc>
        <w:tc>
          <w:tcPr>
            <w:tcW w:w="11340" w:type="dxa"/>
            <w:gridSpan w:val="5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pacing w:before="92" w:after="0"/>
              <w:ind w:hanging="0" w:left="4975" w:right="4975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Poziom wymagań</w:t>
            </w:r>
          </w:p>
        </w:tc>
      </w:tr>
      <w:tr>
        <w:trPr>
          <w:trHeight w:val="380" w:hRule="atLeast"/>
        </w:trPr>
        <w:tc>
          <w:tcPr>
            <w:tcW w:w="624" w:type="dxa"/>
            <w:vMerge w:val="continue"/>
            <w:tcBorders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contextualSpacing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781" w:type="dxa"/>
            <w:vMerge w:val="continue"/>
            <w:tcBorders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contextualSpacing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pacing w:before="87" w:after="0"/>
              <w:ind w:hanging="0" w:left="334"/>
              <w:contextualSpacing/>
              <w:jc w:val="left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ocena dopuszczająca</w:t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pacing w:before="87" w:after="0"/>
              <w:ind w:hanging="0" w:left="418"/>
              <w:contextualSpacing/>
              <w:jc w:val="left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ocena dostateczna</w:t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pacing w:before="87" w:after="0"/>
              <w:ind w:hanging="0" w:left="656"/>
              <w:contextualSpacing/>
              <w:jc w:val="left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ocena dobra</w:t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pacing w:before="87" w:after="0"/>
              <w:ind w:hanging="0" w:left="365"/>
              <w:contextualSpacing/>
              <w:jc w:val="left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ocena bardzo dobra</w:t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pacing w:before="87" w:after="0"/>
              <w:ind w:hanging="0" w:left="576"/>
              <w:contextualSpacing/>
              <w:jc w:val="left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ocena celująca</w:t>
            </w:r>
          </w:p>
        </w:tc>
      </w:tr>
      <w:tr>
        <w:trPr>
          <w:trHeight w:val="2160" w:hRule="atLeast"/>
        </w:trPr>
        <w:tc>
          <w:tcPr>
            <w:tcW w:w="624" w:type="dxa"/>
            <w:tcBorders>
              <w:top w:val="single" w:sz="8" w:space="0" w:color="FDB515"/>
              <w:left w:val="single" w:sz="6" w:space="0" w:color="BCBEC0"/>
              <w:bottom w:val="single" w:sz="4" w:space="0" w:color="BCBEC0"/>
              <w:right w:val="single" w:sz="6" w:space="0" w:color="BCBEC0"/>
            </w:tcBorders>
            <w:shd w:color="auto" w:fill="auto" w:val="clear"/>
            <w:textDirection w:val="btLr"/>
          </w:tcPr>
          <w:p>
            <w:pPr>
              <w:pStyle w:val="TableParagraph"/>
              <w:widowControl w:val="false"/>
              <w:spacing w:before="1" w:after="0"/>
              <w:ind w:hanging="0" w:left="2097"/>
              <w:contextualSpacing/>
              <w:jc w:val="left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sz w:val="17"/>
              </w:rPr>
            </w:r>
          </w:p>
        </w:tc>
        <w:tc>
          <w:tcPr>
            <w:tcW w:w="1781" w:type="dxa"/>
            <w:tcBorders>
              <w:top w:val="single" w:sz="8" w:space="0" w:color="FDB515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pacing w:lineRule="auto" w:line="235" w:before="61" w:after="0"/>
              <w:ind w:hanging="258" w:left="309" w:right="136"/>
              <w:contextualSpacing/>
              <w:jc w:val="left"/>
              <w:rPr>
                <w:b/>
                <w:sz w:val="17"/>
              </w:rPr>
            </w:pPr>
            <w:r>
              <w:rPr>
                <w:b/>
                <w:kern w:val="0"/>
                <w:sz w:val="17"/>
                <w:szCs w:val="22"/>
                <w:lang w:eastAsia="en-US" w:bidi="ar-SA"/>
              </w:rPr>
              <w:t>23. Higiena i choroby układu oddechowego</w:t>
            </w:r>
          </w:p>
        </w:tc>
        <w:tc>
          <w:tcPr>
            <w:tcW w:w="2268" w:type="dxa"/>
            <w:tcBorders>
              <w:top w:val="single" w:sz="8" w:space="0" w:color="FDB515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125"/>
              </w:numPr>
              <w:tabs>
                <w:tab w:val="clear" w:pos="720"/>
                <w:tab w:val="left" w:pos="222" w:leader="none"/>
              </w:tabs>
              <w:spacing w:lineRule="auto" w:line="235" w:before="0" w:after="0"/>
              <w:ind w:hanging="170" w:left="221" w:right="275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wymienia choroby układu oddechowego</w:t>
            </w:r>
          </w:p>
          <w:p>
            <w:pPr>
              <w:pStyle w:val="TableParagraph"/>
              <w:widowControl w:val="false"/>
              <w:numPr>
                <w:ilvl w:val="0"/>
                <w:numId w:val="125"/>
              </w:numPr>
              <w:tabs>
                <w:tab w:val="clear" w:pos="720"/>
                <w:tab w:val="left" w:pos="222" w:leader="none"/>
              </w:tabs>
              <w:spacing w:lineRule="auto" w:line="235" w:before="0" w:after="0"/>
              <w:ind w:hanging="170" w:left="221" w:right="264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wymienia czynniki wpływające na prawidłowe funkcjonowanie układu oddechowego</w:t>
            </w:r>
          </w:p>
        </w:tc>
        <w:tc>
          <w:tcPr>
            <w:tcW w:w="2268" w:type="dxa"/>
            <w:tcBorders>
              <w:top w:val="single" w:sz="8" w:space="0" w:color="FDB515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125"/>
              </w:numPr>
              <w:tabs>
                <w:tab w:val="clear" w:pos="720"/>
                <w:tab w:val="left" w:pos="222" w:leader="none"/>
              </w:tabs>
              <w:spacing w:lineRule="auto" w:line="235" w:before="61" w:after="0"/>
              <w:ind w:hanging="170" w:left="221" w:right="413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wskazuje źródła infekcji górnych i dolnych dróg oddechowych</w:t>
            </w:r>
          </w:p>
          <w:p>
            <w:pPr>
              <w:pStyle w:val="TableParagraph"/>
              <w:widowControl w:val="false"/>
              <w:numPr>
                <w:ilvl w:val="0"/>
                <w:numId w:val="125"/>
              </w:numPr>
              <w:tabs>
                <w:tab w:val="clear" w:pos="720"/>
                <w:tab w:val="left" w:pos="222" w:leader="none"/>
              </w:tabs>
              <w:spacing w:lineRule="auto" w:line="235" w:before="0" w:after="0"/>
              <w:ind w:hanging="170" w:left="221" w:right="394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określa sposoby zapobiegania chorobom układu oddechowego</w:t>
            </w:r>
          </w:p>
          <w:p>
            <w:pPr>
              <w:pStyle w:val="TableParagraph"/>
              <w:widowControl w:val="false"/>
              <w:numPr>
                <w:ilvl w:val="0"/>
                <w:numId w:val="125"/>
              </w:numPr>
              <w:tabs>
                <w:tab w:val="clear" w:pos="720"/>
                <w:tab w:val="left" w:pos="222" w:leader="none"/>
              </w:tabs>
              <w:spacing w:lineRule="auto" w:line="235" w:before="61" w:after="0"/>
              <w:ind w:hanging="170" w:left="221" w:right="80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omawia wpływ zanieczyszczeń pyłowych na prawidłowe funkcjonowanie układu oddechowego</w:t>
            </w:r>
          </w:p>
        </w:tc>
        <w:tc>
          <w:tcPr>
            <w:tcW w:w="2268" w:type="dxa"/>
            <w:tcBorders>
              <w:top w:val="single" w:sz="8" w:space="0" w:color="FDB515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125"/>
              </w:numPr>
              <w:tabs>
                <w:tab w:val="clear" w:pos="720"/>
                <w:tab w:val="left" w:pos="221" w:leader="none"/>
              </w:tabs>
              <w:spacing w:lineRule="auto" w:line="235" w:before="61" w:after="0"/>
              <w:ind w:hanging="170" w:left="221" w:right="253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opisuje objawy wybranych chorób układu oddechowego</w:t>
            </w:r>
          </w:p>
          <w:p>
            <w:pPr>
              <w:pStyle w:val="TableParagraph"/>
              <w:widowControl w:val="false"/>
              <w:numPr>
                <w:ilvl w:val="0"/>
                <w:numId w:val="125"/>
              </w:numPr>
              <w:tabs>
                <w:tab w:val="clear" w:pos="720"/>
                <w:tab w:val="left" w:pos="221" w:leader="none"/>
              </w:tabs>
              <w:spacing w:lineRule="auto" w:line="235" w:before="0" w:after="0"/>
              <w:ind w:hanging="170" w:left="221" w:right="334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wyjaśnia związek między wdychaniem powietrza przez nos a profilaktyką chorób układu oddechowego</w:t>
            </w:r>
          </w:p>
          <w:p>
            <w:pPr>
              <w:pStyle w:val="TableParagraph"/>
              <w:widowControl w:val="false"/>
              <w:numPr>
                <w:ilvl w:val="0"/>
                <w:numId w:val="125"/>
              </w:numPr>
              <w:tabs>
                <w:tab w:val="clear" w:pos="720"/>
                <w:tab w:val="left" w:pos="222" w:leader="none"/>
              </w:tabs>
              <w:spacing w:lineRule="auto" w:line="235" w:before="0" w:after="0"/>
              <w:ind w:hanging="170" w:left="221" w:right="131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rozróżnia czynne i bierne palenie tytoniu</w:t>
            </w:r>
          </w:p>
        </w:tc>
        <w:tc>
          <w:tcPr>
            <w:tcW w:w="2268" w:type="dxa"/>
            <w:tcBorders>
              <w:top w:val="single" w:sz="8" w:space="0" w:color="FDB515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125"/>
              </w:numPr>
              <w:tabs>
                <w:tab w:val="clear" w:pos="720"/>
                <w:tab w:val="left" w:pos="221" w:leader="none"/>
              </w:tabs>
              <w:spacing w:lineRule="auto" w:line="235" w:before="1" w:after="0"/>
              <w:ind w:hanging="170" w:left="221" w:right="131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analizuje wpływ palenia tytoniu na funkcjonowanie układu oddechowego</w:t>
            </w:r>
          </w:p>
          <w:p>
            <w:pPr>
              <w:pStyle w:val="TableParagraph"/>
              <w:widowControl w:val="false"/>
              <w:numPr>
                <w:ilvl w:val="0"/>
                <w:numId w:val="125"/>
              </w:numPr>
              <w:tabs>
                <w:tab w:val="clear" w:pos="720"/>
                <w:tab w:val="left" w:pos="222" w:leader="none"/>
              </w:tabs>
              <w:spacing w:lineRule="auto" w:line="235" w:before="1" w:after="0"/>
              <w:ind w:hanging="170" w:left="221" w:right="131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wyszukuje w dowolnych źródłach informacje na temat przyczyn rozwoju raka płuc</w:t>
            </w:r>
          </w:p>
        </w:tc>
        <w:tc>
          <w:tcPr>
            <w:tcW w:w="2268" w:type="dxa"/>
            <w:tcBorders>
              <w:top w:val="single" w:sz="8" w:space="0" w:color="FDB515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125"/>
              </w:numPr>
              <w:tabs>
                <w:tab w:val="clear" w:pos="720"/>
                <w:tab w:val="left" w:pos="221" w:leader="none"/>
              </w:tabs>
              <w:spacing w:lineRule="auto" w:line="235" w:before="61" w:after="0"/>
              <w:ind w:hanging="170" w:left="221" w:right="503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przeprowadza wywiad w przychodni zdrowia na temat profilaktyki chorób płuc</w:t>
            </w:r>
          </w:p>
          <w:p>
            <w:pPr>
              <w:pStyle w:val="TableParagraph"/>
              <w:widowControl w:val="false"/>
              <w:numPr>
                <w:ilvl w:val="0"/>
                <w:numId w:val="125"/>
              </w:numPr>
              <w:tabs>
                <w:tab w:val="clear" w:pos="720"/>
                <w:tab w:val="left" w:pos="221" w:leader="none"/>
              </w:tabs>
              <w:spacing w:lineRule="auto" w:line="235" w:before="61" w:after="0"/>
              <w:ind w:hanging="170" w:left="221" w:right="503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wykazuje  zależności między skażeniem pyłowym  środowiska a zachorowalnością na  choroby układu oddechowego</w:t>
            </w:r>
          </w:p>
          <w:p>
            <w:pPr>
              <w:pStyle w:val="TableParagraph"/>
              <w:widowControl w:val="false"/>
              <w:spacing w:lineRule="exact" w:line="202" w:before="0" w:after="0"/>
              <w:contextualSpacing/>
              <w:jc w:val="left"/>
              <w:rPr>
                <w:sz w:val="17"/>
              </w:rPr>
            </w:pPr>
            <w:r>
              <w:rPr>
                <w:sz w:val="17"/>
              </w:rPr>
            </w:r>
          </w:p>
        </w:tc>
      </w:tr>
      <w:tr>
        <w:trPr>
          <w:trHeight w:val="2086" w:hRule="atLeast"/>
        </w:trPr>
        <w:tc>
          <w:tcPr>
            <w:tcW w:w="624" w:type="dxa"/>
            <w:vMerge w:val="restart"/>
            <w:tcBorders>
              <w:top w:val="single" w:sz="4" w:space="0" w:color="BCBEC0"/>
              <w:left w:val="single" w:sz="6" w:space="0" w:color="BCBEC0"/>
              <w:bottom w:val="single" w:sz="4" w:space="0" w:color="BCBEC0"/>
              <w:right w:val="single" w:sz="6" w:space="0" w:color="BCBEC0"/>
            </w:tcBorders>
            <w:shd w:color="auto" w:fill="auto" w:val="clear"/>
            <w:textDirection w:val="btLr"/>
          </w:tcPr>
          <w:p>
            <w:pPr>
              <w:pStyle w:val="TableParagraph"/>
              <w:widowControl w:val="false"/>
              <w:spacing w:before="9" w:after="0"/>
              <w:ind w:hanging="0" w:left="0"/>
              <w:contextualSpacing/>
              <w:jc w:val="left"/>
              <w:rPr>
                <w:rFonts w:ascii="Humanst521EU" w:hAnsi="Humanst521EU"/>
                <w:b/>
                <w:sz w:val="15"/>
              </w:rPr>
            </w:pPr>
            <w:r>
              <w:rPr>
                <w:rFonts w:ascii="Humanst521EU" w:hAnsi="Humanst521EU"/>
                <w:b/>
                <w:sz w:val="15"/>
              </w:rPr>
            </w:r>
          </w:p>
          <w:p>
            <w:pPr>
              <w:pStyle w:val="TableParagraph"/>
              <w:widowControl w:val="false"/>
              <w:spacing w:before="1" w:after="0"/>
              <w:ind w:hanging="0" w:left="733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VI. Układ moczowy i wydalanie</w:t>
            </w:r>
          </w:p>
        </w:tc>
        <w:tc>
          <w:tcPr>
            <w:tcW w:w="1781" w:type="dxa"/>
            <w:tcBorders>
              <w:top w:val="single" w:sz="4" w:space="0" w:color="BCBEC0"/>
              <w:left w:val="single" w:sz="6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pacing w:lineRule="exact" w:line="206" w:before="57" w:after="0"/>
              <w:ind w:hanging="255" w:left="306"/>
              <w:contextualSpacing/>
              <w:jc w:val="left"/>
              <w:rPr>
                <w:b/>
                <w:sz w:val="17"/>
              </w:rPr>
            </w:pPr>
            <w:r>
              <w:rPr>
                <w:b/>
                <w:kern w:val="0"/>
                <w:sz w:val="17"/>
                <w:szCs w:val="22"/>
                <w:lang w:eastAsia="en-US" w:bidi="ar-SA"/>
              </w:rPr>
              <w:t>24. Budowa i działanie układu wydalniczego</w:t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126"/>
              </w:numPr>
              <w:tabs>
                <w:tab w:val="clear" w:pos="720"/>
                <w:tab w:val="left" w:pos="222" w:leader="none"/>
              </w:tabs>
              <w:spacing w:lineRule="auto" w:line="235" w:before="61" w:after="0"/>
              <w:ind w:hanging="170" w:left="221" w:right="49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wymienia przykłady substancji, które są wydalane przez organizm człowieka</w:t>
            </w:r>
          </w:p>
          <w:p>
            <w:pPr>
              <w:pStyle w:val="TableParagraph"/>
              <w:widowControl w:val="false"/>
              <w:numPr>
                <w:ilvl w:val="0"/>
                <w:numId w:val="126"/>
              </w:numPr>
              <w:tabs>
                <w:tab w:val="clear" w:pos="720"/>
                <w:tab w:val="left" w:pos="222" w:leader="none"/>
              </w:tabs>
              <w:spacing w:lineRule="auto" w:line="235" w:before="0" w:after="0"/>
              <w:ind w:hanging="170" w:left="221" w:right="309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wymienia narządy układu wydalniczego</w:t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127"/>
              </w:numPr>
              <w:tabs>
                <w:tab w:val="clear" w:pos="720"/>
                <w:tab w:val="left" w:pos="222" w:leader="none"/>
              </w:tabs>
              <w:spacing w:lineRule="exact" w:line="206" w:before="57" w:after="0"/>
              <w:contextualSpacing/>
              <w:jc w:val="left"/>
              <w:rPr>
                <w:rFonts w:ascii="Humanst521EU" w:hAnsi="Humanst521EU"/>
                <w:i/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 xml:space="preserve">wyjaśnia pojęcia </w:t>
            </w:r>
            <w:r>
              <w:rPr>
                <w:rFonts w:ascii="Humanst521EU" w:hAnsi="Humanst521EU"/>
                <w:i/>
                <w:kern w:val="0"/>
                <w:sz w:val="17"/>
                <w:szCs w:val="22"/>
                <w:lang w:eastAsia="en-US" w:bidi="ar-SA"/>
              </w:rPr>
              <w:t>wydalanie</w:t>
            </w:r>
          </w:p>
          <w:p>
            <w:pPr>
              <w:pStyle w:val="TableParagraph"/>
              <w:widowControl w:val="false"/>
              <w:spacing w:lineRule="exact" w:line="204" w:before="0" w:after="0"/>
              <w:ind w:hanging="0" w:left="221"/>
              <w:contextualSpacing/>
              <w:jc w:val="left"/>
              <w:rPr>
                <w:rFonts w:ascii="Humanst521EU" w:hAnsi="Humanst521EU"/>
                <w:i/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i </w:t>
            </w:r>
            <w:r>
              <w:rPr>
                <w:rFonts w:ascii="Humanst521EU" w:hAnsi="Humanst521EU"/>
                <w:i/>
                <w:kern w:val="0"/>
                <w:sz w:val="17"/>
                <w:szCs w:val="22"/>
                <w:lang w:eastAsia="en-US" w:bidi="ar-SA"/>
              </w:rPr>
              <w:t>defekacja</w:t>
            </w:r>
          </w:p>
          <w:p>
            <w:pPr>
              <w:pStyle w:val="TableParagraph"/>
              <w:widowControl w:val="false"/>
              <w:numPr>
                <w:ilvl w:val="0"/>
                <w:numId w:val="127"/>
              </w:numPr>
              <w:tabs>
                <w:tab w:val="clear" w:pos="720"/>
                <w:tab w:val="left" w:pos="222" w:leader="none"/>
              </w:tabs>
              <w:spacing w:lineRule="auto" w:line="235" w:before="2" w:after="0"/>
              <w:ind w:hanging="170" w:left="221" w:right="275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wymienia drogi wydalania zbędnych produktów przemiany materii</w:t>
            </w:r>
          </w:p>
          <w:p>
            <w:pPr>
              <w:pStyle w:val="TableParagraph"/>
              <w:widowControl w:val="false"/>
              <w:numPr>
                <w:ilvl w:val="0"/>
                <w:numId w:val="127"/>
              </w:numPr>
              <w:tabs>
                <w:tab w:val="clear" w:pos="720"/>
                <w:tab w:val="left" w:pos="222" w:leader="none"/>
              </w:tabs>
              <w:spacing w:lineRule="auto" w:line="221" w:before="10" w:after="0"/>
              <w:ind w:hanging="170" w:left="221" w:right="326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wymienia CO</w:t>
            </w:r>
            <w:r>
              <w:rPr>
                <w:kern w:val="0"/>
                <w:position w:val="-3"/>
                <w:sz w:val="12"/>
                <w:szCs w:val="22"/>
                <w:lang w:eastAsia="en-US" w:bidi="ar-SA"/>
              </w:rPr>
              <w:t>2</w:t>
            </w:r>
            <w:r>
              <w:rPr>
                <w:kern w:val="0"/>
                <w:sz w:val="17"/>
                <w:szCs w:val="22"/>
                <w:lang w:eastAsia="en-US" w:bidi="ar-SA"/>
              </w:rPr>
              <w:t xml:space="preserve"> i mocznik jako zbędne produkty przemiany materii</w:t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128"/>
              </w:numPr>
              <w:tabs>
                <w:tab w:val="clear" w:pos="720"/>
                <w:tab w:val="left" w:pos="222" w:leader="none"/>
              </w:tabs>
              <w:spacing w:lineRule="auto" w:line="235" w:before="61" w:after="0"/>
              <w:ind w:hanging="170" w:left="221" w:right="564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porównuje wydalanie i defekację</w:t>
            </w:r>
          </w:p>
          <w:p>
            <w:pPr>
              <w:pStyle w:val="TableParagraph"/>
              <w:widowControl w:val="false"/>
              <w:numPr>
                <w:ilvl w:val="0"/>
                <w:numId w:val="128"/>
              </w:numPr>
              <w:tabs>
                <w:tab w:val="clear" w:pos="720"/>
                <w:tab w:val="left" w:pos="222" w:leader="none"/>
              </w:tabs>
              <w:spacing w:lineRule="auto" w:line="235" w:before="0" w:after="0"/>
              <w:ind w:hanging="170" w:left="221" w:right="548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omawia na podstawie ilustracji proces powstawania moczu</w:t>
            </w:r>
          </w:p>
          <w:p>
            <w:pPr>
              <w:pStyle w:val="TableParagraph"/>
              <w:widowControl w:val="false"/>
              <w:numPr>
                <w:ilvl w:val="0"/>
                <w:numId w:val="128"/>
              </w:numPr>
              <w:tabs>
                <w:tab w:val="clear" w:pos="720"/>
                <w:tab w:val="left" w:pos="222" w:leader="none"/>
              </w:tabs>
              <w:spacing w:lineRule="auto" w:line="235" w:before="0" w:after="0"/>
              <w:ind w:hanging="170" w:left="221" w:right="420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wskazuje na modelu lub ilustracji miejsce powstawania moczu pierwotnego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222" w:leader="none"/>
              </w:tabs>
              <w:spacing w:lineRule="auto" w:line="235" w:before="0" w:after="0"/>
              <w:ind w:hanging="0" w:left="221" w:right="236"/>
              <w:contextualSpacing/>
              <w:jc w:val="left"/>
              <w:rPr>
                <w:sz w:val="12"/>
              </w:rPr>
            </w:pPr>
            <w:r>
              <w:rPr>
                <w:sz w:val="12"/>
              </w:rPr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129"/>
              </w:numPr>
              <w:tabs>
                <w:tab w:val="clear" w:pos="720"/>
                <w:tab w:val="left" w:pos="222" w:leader="none"/>
              </w:tabs>
              <w:spacing w:lineRule="auto" w:line="235" w:before="0" w:after="0"/>
              <w:ind w:hanging="170" w:left="221" w:right="684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omawia rolę układu wydalniczego w prawidłowym funkcjonowaniu całego organizmu</w:t>
            </w:r>
          </w:p>
          <w:p>
            <w:pPr>
              <w:pStyle w:val="TableParagraph"/>
              <w:widowControl w:val="false"/>
              <w:numPr>
                <w:ilvl w:val="0"/>
                <w:numId w:val="129"/>
              </w:numPr>
              <w:tabs>
                <w:tab w:val="clear" w:pos="720"/>
                <w:tab w:val="left" w:pos="222" w:leader="none"/>
              </w:tabs>
              <w:spacing w:lineRule="auto" w:line="235" w:before="0" w:after="0"/>
              <w:ind w:hanging="170" w:left="221" w:right="684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opisuje sposoby wydalania mocznika i CO</w:t>
            </w:r>
            <w:r>
              <w:rPr>
                <w:kern w:val="0"/>
                <w:position w:val="-3"/>
                <w:sz w:val="12"/>
                <w:szCs w:val="22"/>
                <w:lang w:eastAsia="en-US" w:bidi="ar-SA"/>
              </w:rPr>
              <w:t>2</w:t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130"/>
              </w:numPr>
              <w:tabs>
                <w:tab w:val="clear" w:pos="720"/>
                <w:tab w:val="left" w:pos="222" w:leader="none"/>
              </w:tabs>
              <w:spacing w:lineRule="auto" w:line="235" w:before="61" w:after="0"/>
              <w:ind w:hanging="170" w:left="221" w:right="416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wykonuje z dowolnego materiału model układu moczowego</w:t>
            </w:r>
          </w:p>
          <w:p>
            <w:pPr>
              <w:pStyle w:val="TableParagraph"/>
              <w:widowControl w:val="false"/>
              <w:numPr>
                <w:ilvl w:val="0"/>
                <w:numId w:val="129"/>
              </w:numPr>
              <w:tabs>
                <w:tab w:val="clear" w:pos="720"/>
                <w:tab w:val="left" w:pos="222" w:leader="none"/>
              </w:tabs>
              <w:spacing w:lineRule="auto" w:line="235" w:before="61" w:after="0"/>
              <w:ind w:hanging="170" w:left="221" w:right="128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rozpoznaje na modelu lub materiale świeżym warstwy budujące nerkę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222" w:leader="none"/>
              </w:tabs>
              <w:spacing w:lineRule="auto" w:line="235" w:before="0" w:after="0"/>
              <w:ind w:hanging="0" w:left="221" w:right="252"/>
              <w:contextualSpacing/>
              <w:jc w:val="left"/>
              <w:rPr>
                <w:sz w:val="17"/>
              </w:rPr>
            </w:pPr>
            <w:r>
              <w:rPr>
                <w:sz w:val="17"/>
              </w:rPr>
            </w:r>
          </w:p>
        </w:tc>
      </w:tr>
      <w:tr>
        <w:trPr>
          <w:trHeight w:val="2244" w:hRule="atLeast"/>
        </w:trPr>
        <w:tc>
          <w:tcPr>
            <w:tcW w:w="624" w:type="dxa"/>
            <w:vMerge w:val="continue"/>
            <w:tcBorders>
              <w:top w:val="single" w:sz="4" w:space="0" w:color="BCBEC0"/>
              <w:left w:val="single" w:sz="6" w:space="0" w:color="BCBEC0"/>
              <w:bottom w:val="single" w:sz="4" w:space="0" w:color="BCBEC0"/>
              <w:right w:val="single" w:sz="6" w:space="0" w:color="BCBEC0"/>
            </w:tcBorders>
            <w:shd w:color="auto" w:fill="auto" w:val="clear"/>
            <w:textDirection w:val="btLr"/>
          </w:tcPr>
          <w:p>
            <w:pPr>
              <w:pStyle w:val="TableParagraph"/>
              <w:widowControl w:val="false"/>
              <w:spacing w:before="9" w:after="0"/>
              <w:ind w:hanging="0" w:left="0"/>
              <w:contextualSpacing/>
              <w:jc w:val="left"/>
              <w:rPr>
                <w:rFonts w:ascii="Humanst521EU" w:hAnsi="Humanst521EU"/>
                <w:b/>
                <w:sz w:val="15"/>
              </w:rPr>
            </w:pPr>
            <w:r>
              <w:rPr>
                <w:rFonts w:ascii="Humanst521EU" w:hAnsi="Humanst521EU"/>
                <w:b/>
                <w:sz w:val="15"/>
              </w:rPr>
            </w:r>
          </w:p>
        </w:tc>
        <w:tc>
          <w:tcPr>
            <w:tcW w:w="1781" w:type="dxa"/>
            <w:tcBorders>
              <w:top w:val="single" w:sz="4" w:space="0" w:color="BCBEC0"/>
              <w:left w:val="single" w:sz="6" w:space="0" w:color="BCBEC0"/>
              <w:bottom w:val="single" w:sz="6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pacing w:lineRule="exact" w:line="206" w:before="57" w:after="0"/>
              <w:ind w:hanging="255" w:left="306"/>
              <w:contextualSpacing/>
              <w:jc w:val="left"/>
              <w:rPr>
                <w:b/>
                <w:sz w:val="17"/>
              </w:rPr>
            </w:pPr>
            <w:r>
              <w:rPr>
                <w:b/>
                <w:kern w:val="0"/>
                <w:sz w:val="17"/>
                <w:szCs w:val="22"/>
                <w:lang w:eastAsia="en-US" w:bidi="ar-SA"/>
              </w:rPr>
              <w:t>25. Higiena i choroby układu wydalniczego</w:t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6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126"/>
              </w:numPr>
              <w:tabs>
                <w:tab w:val="clear" w:pos="720"/>
                <w:tab w:val="left" w:pos="222" w:leader="none"/>
              </w:tabs>
              <w:spacing w:lineRule="auto" w:line="235" w:before="61" w:after="0"/>
              <w:ind w:hanging="170" w:left="221" w:right="372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wymienia zasady higieny układu wydalniczego</w:t>
            </w:r>
          </w:p>
          <w:p>
            <w:pPr>
              <w:pStyle w:val="TableParagraph"/>
              <w:widowControl w:val="false"/>
              <w:numPr>
                <w:ilvl w:val="0"/>
                <w:numId w:val="126"/>
              </w:numPr>
              <w:tabs>
                <w:tab w:val="clear" w:pos="720"/>
                <w:tab w:val="left" w:pos="222" w:leader="none"/>
              </w:tabs>
              <w:spacing w:lineRule="auto" w:line="235" w:before="61" w:after="0"/>
              <w:ind w:hanging="170" w:left="221" w:right="49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wymienia choroby układu wydalniczego</w:t>
            </w:r>
          </w:p>
          <w:p>
            <w:pPr>
              <w:pStyle w:val="TableParagraph"/>
              <w:widowControl w:val="false"/>
              <w:numPr>
                <w:ilvl w:val="0"/>
                <w:numId w:val="126"/>
              </w:numPr>
              <w:tabs>
                <w:tab w:val="clear" w:pos="720"/>
                <w:tab w:val="left" w:pos="222" w:leader="none"/>
              </w:tabs>
              <w:spacing w:lineRule="auto" w:line="235" w:before="61" w:after="0"/>
              <w:ind w:hanging="170" w:left="221" w:right="49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odczytuje wyniki własnych badań laboratoryjnych</w:t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6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126"/>
              </w:numPr>
              <w:tabs>
                <w:tab w:val="clear" w:pos="720"/>
                <w:tab w:val="left" w:pos="222" w:leader="none"/>
              </w:tabs>
              <w:spacing w:lineRule="auto" w:line="235" w:before="61" w:after="0"/>
              <w:ind w:hanging="170" w:left="221" w:right="237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wskazuje na zakażenia dróg moczowych i kamicę nerkową jako choroby układu wydalniczego</w:t>
            </w:r>
          </w:p>
          <w:p>
            <w:pPr>
              <w:pStyle w:val="TableParagraph"/>
              <w:widowControl w:val="false"/>
              <w:numPr>
                <w:ilvl w:val="0"/>
                <w:numId w:val="126"/>
              </w:numPr>
              <w:tabs>
                <w:tab w:val="clear" w:pos="720"/>
                <w:tab w:val="left" w:pos="222" w:leader="none"/>
              </w:tabs>
              <w:spacing w:lineRule="auto" w:line="235" w:before="0" w:after="0"/>
              <w:ind w:hanging="170" w:left="221" w:right="49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wymienia badania stosowane w profilaktyce tych chorób</w:t>
            </w:r>
          </w:p>
          <w:p>
            <w:pPr>
              <w:pStyle w:val="TableParagraph"/>
              <w:widowControl w:val="false"/>
              <w:numPr>
                <w:ilvl w:val="0"/>
                <w:numId w:val="126"/>
              </w:numPr>
              <w:tabs>
                <w:tab w:val="clear" w:pos="720"/>
                <w:tab w:val="left" w:pos="222" w:leader="none"/>
              </w:tabs>
              <w:spacing w:lineRule="auto" w:line="235" w:before="0" w:after="0"/>
              <w:ind w:hanging="170" w:left="221" w:right="49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wskazuje we własnych  wynikach odchylenia od normy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222" w:leader="none"/>
              </w:tabs>
              <w:spacing w:lineRule="exact" w:line="206" w:before="57" w:after="0"/>
              <w:ind w:hanging="0" w:left="221"/>
              <w:contextualSpacing/>
              <w:jc w:val="left"/>
              <w:rPr>
                <w:sz w:val="17"/>
              </w:rPr>
            </w:pPr>
            <w:r>
              <w:rPr>
                <w:sz w:val="17"/>
              </w:rPr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6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126"/>
              </w:numPr>
              <w:tabs>
                <w:tab w:val="clear" w:pos="720"/>
                <w:tab w:val="left" w:pos="222" w:leader="none"/>
              </w:tabs>
              <w:spacing w:lineRule="auto" w:line="235" w:before="61" w:after="0"/>
              <w:ind w:hanging="170" w:left="221" w:right="231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omawia przyczyny chorób układu wydalniczego</w:t>
            </w:r>
          </w:p>
          <w:p>
            <w:pPr>
              <w:pStyle w:val="TableParagraph"/>
              <w:widowControl w:val="false"/>
              <w:numPr>
                <w:ilvl w:val="0"/>
                <w:numId w:val="126"/>
              </w:numPr>
              <w:tabs>
                <w:tab w:val="clear" w:pos="720"/>
                <w:tab w:val="left" w:pos="222" w:leader="none"/>
              </w:tabs>
              <w:spacing w:lineRule="auto" w:line="235" w:before="0" w:after="0"/>
              <w:ind w:hanging="170" w:left="221" w:right="652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wyjaśnia znaczenie wykonywania badań kontrolnych moczu</w:t>
            </w:r>
          </w:p>
          <w:p>
            <w:pPr>
              <w:pStyle w:val="TableParagraph"/>
              <w:widowControl w:val="false"/>
              <w:numPr>
                <w:ilvl w:val="0"/>
                <w:numId w:val="126"/>
              </w:numPr>
              <w:tabs>
                <w:tab w:val="clear" w:pos="720"/>
                <w:tab w:val="left" w:pos="222" w:leader="none"/>
              </w:tabs>
              <w:spacing w:lineRule="auto" w:line="235" w:before="61" w:after="0"/>
              <w:ind w:hanging="170" w:left="221" w:right="564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wskazuje na konieczność okresowego wykonywania badań kontrolnych moczu</w:t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6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126"/>
              </w:numPr>
              <w:tabs>
                <w:tab w:val="clear" w:pos="720"/>
                <w:tab w:val="left" w:pos="222" w:leader="none"/>
              </w:tabs>
              <w:spacing w:lineRule="auto" w:line="235" w:before="61" w:after="0"/>
              <w:ind w:hanging="170" w:left="221" w:right="146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uzasadnia konieczność picia dużych ilości wody podczas leczenia chorób nerek</w:t>
            </w:r>
          </w:p>
          <w:p>
            <w:pPr>
              <w:pStyle w:val="TableParagraph"/>
              <w:widowControl w:val="false"/>
              <w:numPr>
                <w:ilvl w:val="0"/>
                <w:numId w:val="126"/>
              </w:numPr>
              <w:tabs>
                <w:tab w:val="clear" w:pos="720"/>
                <w:tab w:val="left" w:pos="222" w:leader="none"/>
              </w:tabs>
              <w:spacing w:lineRule="auto" w:line="235" w:before="61" w:after="0"/>
              <w:ind w:hanging="170" w:left="221" w:right="128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uzasadnia konieczność regularnego opróżniania pęcherza moczowego</w:t>
            </w:r>
          </w:p>
          <w:p>
            <w:pPr>
              <w:pStyle w:val="TableParagraph"/>
              <w:widowControl w:val="false"/>
              <w:numPr>
                <w:ilvl w:val="0"/>
                <w:numId w:val="130"/>
              </w:numPr>
              <w:tabs>
                <w:tab w:val="clear" w:pos="720"/>
                <w:tab w:val="left" w:pos="222" w:leader="none"/>
                <w:tab w:val="left" w:pos="1423" w:leader="none"/>
              </w:tabs>
              <w:spacing w:lineRule="auto" w:line="235" w:before="0" w:after="0"/>
              <w:ind w:hanging="170" w:left="221" w:right="136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omawia na ilustracji przebieg dializy</w:t>
            </w:r>
          </w:p>
          <w:p>
            <w:pPr>
              <w:pStyle w:val="TableParagraph"/>
              <w:widowControl w:val="false"/>
              <w:numPr>
                <w:ilvl w:val="0"/>
                <w:numId w:val="126"/>
              </w:numPr>
              <w:tabs>
                <w:tab w:val="clear" w:pos="720"/>
                <w:tab w:val="left" w:pos="222" w:leader="none"/>
              </w:tabs>
              <w:spacing w:lineRule="auto" w:line="235" w:before="0" w:after="0"/>
              <w:ind w:hanging="170" w:left="221" w:right="49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wskazuje we własnych  wynikach odchylenia od normy – stwierdza stan zagrożenia zdrowia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222" w:leader="none"/>
                <w:tab w:val="left" w:pos="1423" w:leader="none"/>
              </w:tabs>
              <w:spacing w:lineRule="auto" w:line="235" w:before="0" w:after="0"/>
              <w:ind w:hanging="0" w:left="221" w:right="136"/>
              <w:contextualSpacing/>
              <w:jc w:val="left"/>
              <w:rPr>
                <w:sz w:val="17"/>
              </w:rPr>
            </w:pPr>
            <w:r>
              <w:rPr>
                <w:sz w:val="17"/>
              </w:rPr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222" w:leader="none"/>
              </w:tabs>
              <w:spacing w:lineRule="auto" w:line="235" w:before="61" w:after="0"/>
              <w:ind w:hanging="0" w:left="221" w:right="128"/>
              <w:contextualSpacing/>
              <w:jc w:val="left"/>
              <w:rPr>
                <w:sz w:val="17"/>
              </w:rPr>
            </w:pPr>
            <w:r>
              <w:rPr>
                <w:sz w:val="17"/>
              </w:rPr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6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130"/>
              </w:numPr>
              <w:tabs>
                <w:tab w:val="clear" w:pos="720"/>
                <w:tab w:val="left" w:pos="222" w:leader="none"/>
              </w:tabs>
              <w:spacing w:lineRule="auto" w:line="235" w:before="61" w:after="0"/>
              <w:ind w:hanging="170" w:left="221" w:right="416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analizuje własne wyniki laboratoryjnego badania moczu i na tej podstawie określa stan zdrowia własnego układu wydalniczego</w:t>
            </w:r>
          </w:p>
          <w:p>
            <w:pPr>
              <w:pStyle w:val="TableParagraph"/>
              <w:widowControl w:val="false"/>
              <w:numPr>
                <w:ilvl w:val="0"/>
                <w:numId w:val="130"/>
              </w:numPr>
              <w:tabs>
                <w:tab w:val="clear" w:pos="720"/>
                <w:tab w:val="left" w:pos="222" w:leader="none"/>
              </w:tabs>
              <w:spacing w:lineRule="auto" w:line="235" w:before="0" w:after="0"/>
              <w:ind w:hanging="170" w:left="221" w:right="-42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ocenia rolę dializy w ratowaniu życia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222" w:leader="none"/>
              </w:tabs>
              <w:spacing w:lineRule="auto" w:line="235" w:before="61" w:after="0"/>
              <w:ind w:hanging="0" w:left="221" w:right="416"/>
              <w:contextualSpacing/>
              <w:jc w:val="left"/>
              <w:rPr>
                <w:sz w:val="17"/>
              </w:rPr>
            </w:pPr>
            <w:r>
              <w:rPr>
                <w:sz w:val="17"/>
              </w:rPr>
            </w:r>
          </w:p>
        </w:tc>
      </w:tr>
    </w:tbl>
    <w:p>
      <w:pPr>
        <w:sectPr>
          <w:footerReference w:type="even" r:id="rId23"/>
          <w:footerReference w:type="default" r:id="rId24"/>
          <w:footerReference w:type="first" r:id="rId25"/>
          <w:type w:val="nextPage"/>
          <w:pgSz w:orient="landscape" w:w="15600" w:h="11630"/>
          <w:pgMar w:left="0" w:right="880" w:gutter="0" w:header="0" w:top="0" w:footer="708" w:bottom="765"/>
          <w:pgNumType w:fmt="decimal"/>
          <w:formProt w:val="false"/>
          <w:textDirection w:val="lrTb"/>
          <w:docGrid w:type="default" w:linePitch="100" w:charSpace="0"/>
        </w:sectPr>
      </w:pPr>
    </w:p>
    <w:tbl>
      <w:tblPr>
        <w:tblStyle w:val="TableNormal"/>
        <w:tblW w:w="13749" w:type="dxa"/>
        <w:jc w:val="left"/>
        <w:tblInd w:w="110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 w:firstRow="1" w:noVBand="0" w:lastRow="1" w:firstColumn="1" w:lastColumn="1" w:noHBand="0"/>
      </w:tblPr>
      <w:tblGrid>
        <w:gridCol w:w="624"/>
        <w:gridCol w:w="1878"/>
        <w:gridCol w:w="2171"/>
        <w:gridCol w:w="2268"/>
        <w:gridCol w:w="2268"/>
        <w:gridCol w:w="2268"/>
        <w:gridCol w:w="2272"/>
      </w:tblGrid>
      <w:tr>
        <w:trPr>
          <w:trHeight w:val="400" w:hRule="atLeast"/>
        </w:trPr>
        <w:tc>
          <w:tcPr>
            <w:tcW w:w="624" w:type="dxa"/>
            <w:vMerge w:val="restart"/>
            <w:tcBorders>
              <w:top w:val="single" w:sz="4" w:space="0" w:color="BCBEC0"/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pacing w:before="5" w:after="0"/>
              <w:ind w:hanging="0" w:left="0"/>
              <w:contextualSpacing/>
              <w:jc w:val="left"/>
              <w:rPr>
                <w:rFonts w:ascii="Humanst521EU" w:hAnsi="Humanst521EU"/>
                <w:b/>
                <w:sz w:val="24"/>
              </w:rPr>
            </w:pPr>
            <w:r>
              <w:rPr>
                <w:rFonts w:ascii="Humanst521EU" w:hAnsi="Humanst521EU"/>
                <w:b/>
                <w:sz w:val="24"/>
              </w:rPr>
            </w:r>
          </w:p>
          <w:p>
            <w:pPr>
              <w:pStyle w:val="TableParagraph"/>
              <w:widowControl w:val="false"/>
              <w:spacing w:before="0" w:after="0"/>
              <w:ind w:hanging="0" w:left="109"/>
              <w:contextualSpacing/>
              <w:jc w:val="left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Dział</w:t>
            </w:r>
          </w:p>
        </w:tc>
        <w:tc>
          <w:tcPr>
            <w:tcW w:w="1878" w:type="dxa"/>
            <w:vMerge w:val="restart"/>
            <w:tcBorders>
              <w:top w:val="single" w:sz="4" w:space="0" w:color="BCBEC0"/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pacing w:before="5" w:after="0"/>
              <w:ind w:hanging="0" w:left="0"/>
              <w:contextualSpacing/>
              <w:jc w:val="left"/>
              <w:rPr>
                <w:rFonts w:ascii="Humanst521EU" w:hAnsi="Humanst521EU"/>
                <w:b/>
                <w:sz w:val="24"/>
              </w:rPr>
            </w:pPr>
            <w:r>
              <w:rPr>
                <w:rFonts w:ascii="Humanst521EU" w:hAnsi="Humanst521EU"/>
                <w:b/>
                <w:sz w:val="24"/>
              </w:rPr>
            </w:r>
          </w:p>
          <w:p>
            <w:pPr>
              <w:pStyle w:val="TableParagraph"/>
              <w:widowControl w:val="false"/>
              <w:spacing w:before="0" w:after="0"/>
              <w:ind w:hanging="0" w:left="613" w:right="613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Temat</w:t>
            </w:r>
          </w:p>
        </w:tc>
        <w:tc>
          <w:tcPr>
            <w:tcW w:w="11247" w:type="dxa"/>
            <w:gridSpan w:val="5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pacing w:before="92" w:after="0"/>
              <w:ind w:hanging="0" w:left="4975" w:right="4975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Poziom wymagań</w:t>
            </w:r>
          </w:p>
        </w:tc>
      </w:tr>
      <w:tr>
        <w:trPr>
          <w:trHeight w:val="380" w:hRule="atLeast"/>
        </w:trPr>
        <w:tc>
          <w:tcPr>
            <w:tcW w:w="624" w:type="dxa"/>
            <w:vMerge w:val="continue"/>
            <w:tcBorders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contextualSpacing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878" w:type="dxa"/>
            <w:vMerge w:val="continue"/>
            <w:tcBorders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contextualSpacing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171" w:type="dxa"/>
            <w:tcBorders>
              <w:top w:val="single" w:sz="4" w:space="0" w:color="BCBEC0"/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pacing w:before="87" w:after="0"/>
              <w:ind w:hanging="0" w:left="334"/>
              <w:contextualSpacing/>
              <w:jc w:val="left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ocena dopuszczająca</w:t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pacing w:before="87" w:after="0"/>
              <w:ind w:hanging="0" w:left="418"/>
              <w:contextualSpacing/>
              <w:jc w:val="left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ocena dostateczna</w:t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pacing w:before="87" w:after="0"/>
              <w:ind w:hanging="0" w:left="656"/>
              <w:contextualSpacing/>
              <w:jc w:val="left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ocena dobra</w:t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pacing w:before="87" w:after="0"/>
              <w:ind w:hanging="0" w:left="365"/>
              <w:contextualSpacing/>
              <w:jc w:val="left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ocena bardzo dobra</w:t>
            </w:r>
          </w:p>
        </w:tc>
        <w:tc>
          <w:tcPr>
            <w:tcW w:w="2272" w:type="dxa"/>
            <w:tcBorders>
              <w:top w:val="single" w:sz="4" w:space="0" w:color="BCBEC0"/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pacing w:before="87" w:after="0"/>
              <w:ind w:hanging="0" w:left="576"/>
              <w:contextualSpacing/>
              <w:jc w:val="left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ocena celująca</w:t>
            </w:r>
          </w:p>
        </w:tc>
      </w:tr>
      <w:tr>
        <w:trPr>
          <w:trHeight w:val="2400" w:hRule="atLeast"/>
        </w:trPr>
        <w:tc>
          <w:tcPr>
            <w:tcW w:w="624" w:type="dxa"/>
            <w:vMerge w:val="restart"/>
            <w:tcBorders>
              <w:top w:val="single" w:sz="4" w:space="0" w:color="BCBEC0"/>
              <w:left w:val="single" w:sz="6" w:space="0" w:color="BCBEC0"/>
              <w:bottom w:val="single" w:sz="4" w:space="0" w:color="BCBEC0"/>
              <w:right w:val="single" w:sz="6" w:space="0" w:color="BCBEC0"/>
            </w:tcBorders>
            <w:shd w:color="auto" w:fill="auto" w:val="clear"/>
            <w:textDirection w:val="btLr"/>
          </w:tcPr>
          <w:p>
            <w:pPr>
              <w:pStyle w:val="TableParagraph"/>
              <w:widowControl w:val="false"/>
              <w:spacing w:before="9" w:after="0"/>
              <w:ind w:hanging="0" w:left="0"/>
              <w:contextualSpacing/>
              <w:jc w:val="left"/>
              <w:rPr>
                <w:rFonts w:ascii="Humanst521EU" w:hAnsi="Humanst521EU"/>
                <w:b/>
                <w:sz w:val="15"/>
              </w:rPr>
            </w:pPr>
            <w:r>
              <w:rPr>
                <w:rFonts w:ascii="Humanst521EU" w:hAnsi="Humanst521EU"/>
                <w:b/>
                <w:sz w:val="15"/>
              </w:rPr>
            </w:r>
          </w:p>
          <w:p>
            <w:pPr>
              <w:pStyle w:val="TableParagraph"/>
              <w:widowControl w:val="false"/>
              <w:spacing w:before="1" w:after="0"/>
              <w:ind w:hanging="0" w:left="1818"/>
              <w:contextualSpacing/>
              <w:jc w:val="left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 xml:space="preserve">VII. </w:t>
            </w:r>
            <w:r>
              <w:rPr>
                <w:rFonts w:ascii="Humanst521EU" w:hAnsi="Humanst521EU"/>
                <w:b/>
                <w:spacing w:val="-3"/>
                <w:kern w:val="0"/>
                <w:sz w:val="17"/>
                <w:szCs w:val="22"/>
                <w:lang w:eastAsia="en-US" w:bidi="ar-SA"/>
              </w:rPr>
              <w:t>Układ dokrewny</w:t>
            </w:r>
          </w:p>
        </w:tc>
        <w:tc>
          <w:tcPr>
            <w:tcW w:w="1878" w:type="dxa"/>
            <w:tcBorders>
              <w:top w:val="single" w:sz="4" w:space="0" w:color="BCBEC0"/>
              <w:left w:val="single" w:sz="6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pacing w:lineRule="exact" w:line="206" w:before="57" w:after="0"/>
              <w:ind w:hanging="255" w:left="306"/>
              <w:contextualSpacing/>
              <w:jc w:val="left"/>
              <w:rPr>
                <w:b/>
                <w:sz w:val="17"/>
              </w:rPr>
            </w:pPr>
            <w:r>
              <w:rPr>
                <w:b/>
                <w:kern w:val="0"/>
                <w:sz w:val="17"/>
                <w:szCs w:val="22"/>
                <w:lang w:eastAsia="en-US" w:bidi="ar-SA"/>
              </w:rPr>
              <w:t>26.Układ dokrewny.  Budowa i funkcjonowanie układu hormonalnego</w:t>
            </w:r>
          </w:p>
        </w:tc>
        <w:tc>
          <w:tcPr>
            <w:tcW w:w="2171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131"/>
              </w:numPr>
              <w:tabs>
                <w:tab w:val="clear" w:pos="720"/>
                <w:tab w:val="left" w:pos="222" w:leader="none"/>
              </w:tabs>
              <w:spacing w:lineRule="auto" w:line="235" w:before="61" w:after="0"/>
              <w:ind w:hanging="170" w:left="221" w:right="100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wymienia gruczoły dokrewne</w:t>
            </w:r>
          </w:p>
          <w:p>
            <w:pPr>
              <w:pStyle w:val="TableParagraph"/>
              <w:widowControl w:val="false"/>
              <w:numPr>
                <w:ilvl w:val="0"/>
                <w:numId w:val="131"/>
              </w:numPr>
              <w:tabs>
                <w:tab w:val="clear" w:pos="720"/>
                <w:tab w:val="left" w:pos="222" w:leader="none"/>
              </w:tabs>
              <w:spacing w:lineRule="auto" w:line="235" w:before="0" w:after="0"/>
              <w:ind w:hanging="170" w:left="221" w:right="100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wymienia przykłady hormonów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222" w:leader="none"/>
              </w:tabs>
              <w:spacing w:lineRule="auto" w:line="235" w:before="0" w:after="0"/>
              <w:ind w:hanging="0" w:left="221" w:right="100"/>
              <w:contextualSpacing/>
              <w:jc w:val="left"/>
              <w:rPr>
                <w:sz w:val="17"/>
              </w:rPr>
            </w:pPr>
            <w:r>
              <w:rPr>
                <w:sz w:val="17"/>
              </w:rPr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132"/>
              </w:numPr>
              <w:tabs>
                <w:tab w:val="clear" w:pos="720"/>
                <w:tab w:val="left" w:pos="222" w:leader="none"/>
              </w:tabs>
              <w:spacing w:lineRule="auto" w:line="238" w:before="0" w:after="0"/>
              <w:ind w:hanging="170" w:left="221" w:right="421"/>
              <w:contextualSpacing/>
              <w:jc w:val="left"/>
              <w:rPr>
                <w:rFonts w:ascii="Humanst521EU" w:hAnsi="Humanst521EU"/>
                <w:i/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 xml:space="preserve">wyjaśnia pojęcie </w:t>
            </w:r>
            <w:r>
              <w:rPr>
                <w:rFonts w:ascii="Humanst521EU" w:hAnsi="Humanst521EU"/>
                <w:i/>
                <w:kern w:val="0"/>
                <w:sz w:val="17"/>
                <w:szCs w:val="22"/>
                <w:lang w:eastAsia="en-US" w:bidi="ar-SA"/>
              </w:rPr>
              <w:t>gruczoł dokrewny</w:t>
            </w:r>
          </w:p>
          <w:p>
            <w:pPr>
              <w:pStyle w:val="TableParagraph"/>
              <w:widowControl w:val="false"/>
              <w:numPr>
                <w:ilvl w:val="0"/>
                <w:numId w:val="132"/>
              </w:numPr>
              <w:tabs>
                <w:tab w:val="clear" w:pos="720"/>
                <w:tab w:val="left" w:pos="222" w:leader="none"/>
              </w:tabs>
              <w:spacing w:lineRule="exact" w:line="202" w:before="0" w:after="0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wyjaśnia, czym są hormony</w:t>
            </w:r>
          </w:p>
          <w:p>
            <w:pPr>
              <w:pStyle w:val="TableParagraph"/>
              <w:widowControl w:val="false"/>
              <w:numPr>
                <w:ilvl w:val="0"/>
                <w:numId w:val="132"/>
              </w:numPr>
              <w:tabs>
                <w:tab w:val="clear" w:pos="720"/>
                <w:tab w:val="left" w:pos="222" w:leader="none"/>
              </w:tabs>
              <w:spacing w:lineRule="exact" w:line="202" w:before="0" w:after="0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wskazuje na ilustracji położenie gruczołów dokrewnych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222" w:leader="none"/>
              </w:tabs>
              <w:spacing w:lineRule="exact" w:line="206" w:before="0" w:after="0"/>
              <w:ind w:hanging="0" w:left="221"/>
              <w:contextualSpacing/>
              <w:jc w:val="left"/>
              <w:rPr>
                <w:sz w:val="17"/>
              </w:rPr>
            </w:pPr>
            <w:r>
              <w:rPr>
                <w:sz w:val="17"/>
              </w:rPr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133"/>
              </w:numPr>
              <w:tabs>
                <w:tab w:val="clear" w:pos="720"/>
                <w:tab w:val="left" w:pos="222" w:leader="none"/>
              </w:tabs>
              <w:spacing w:lineRule="exact" w:line="206" w:before="57" w:after="0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określa cechy hormonów</w:t>
            </w:r>
          </w:p>
          <w:p>
            <w:pPr>
              <w:pStyle w:val="TableParagraph"/>
              <w:widowControl w:val="false"/>
              <w:numPr>
                <w:ilvl w:val="0"/>
                <w:numId w:val="133"/>
              </w:numPr>
              <w:tabs>
                <w:tab w:val="clear" w:pos="720"/>
                <w:tab w:val="left" w:pos="222" w:leader="none"/>
              </w:tabs>
              <w:spacing w:lineRule="auto" w:line="235" w:before="2" w:after="0"/>
              <w:ind w:hanging="170" w:left="221" w:right="49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przyporządkowuje hormony do odpowiednich gruczołów, które je wytwarzają</w:t>
            </w:r>
          </w:p>
          <w:p>
            <w:pPr>
              <w:pStyle w:val="TableParagraph"/>
              <w:widowControl w:val="false"/>
              <w:numPr>
                <w:ilvl w:val="0"/>
                <w:numId w:val="133"/>
              </w:numPr>
              <w:tabs>
                <w:tab w:val="clear" w:pos="720"/>
                <w:tab w:val="left" w:pos="222" w:leader="none"/>
              </w:tabs>
              <w:spacing w:lineRule="auto" w:line="235" w:before="0" w:after="0"/>
              <w:ind w:hanging="170" w:left="221" w:right="392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charakteryzuje działanie insuliny i glukagonu</w:t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134"/>
              </w:numPr>
              <w:tabs>
                <w:tab w:val="clear" w:pos="720"/>
                <w:tab w:val="left" w:pos="222" w:leader="none"/>
              </w:tabs>
              <w:spacing w:lineRule="auto" w:line="235" w:before="0" w:after="0"/>
              <w:ind w:hanging="170" w:left="221" w:right="56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omawia znaczenie swoistego działania hormonów</w:t>
            </w:r>
          </w:p>
          <w:p>
            <w:pPr>
              <w:pStyle w:val="TableParagraph"/>
              <w:widowControl w:val="false"/>
              <w:numPr>
                <w:ilvl w:val="0"/>
                <w:numId w:val="134"/>
              </w:numPr>
              <w:tabs>
                <w:tab w:val="clear" w:pos="720"/>
                <w:tab w:val="left" w:pos="222" w:leader="none"/>
              </w:tabs>
              <w:spacing w:lineRule="auto" w:line="235" w:before="0" w:after="0"/>
              <w:ind w:hanging="170" w:left="221" w:right="314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wyjaśnia, na czym polega antagonistyczne działanie insuliny i glukagonu</w:t>
            </w:r>
          </w:p>
        </w:tc>
        <w:tc>
          <w:tcPr>
            <w:tcW w:w="2272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134"/>
              </w:numPr>
              <w:tabs>
                <w:tab w:val="clear" w:pos="720"/>
                <w:tab w:val="left" w:pos="222" w:leader="none"/>
              </w:tabs>
              <w:spacing w:lineRule="auto" w:line="235" w:before="61" w:after="0"/>
              <w:ind w:hanging="170" w:left="221" w:right="348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przedstawia biologiczną rolę hormonu wzrostu, tyroksyny, insuliny, adrenaliny, testosteronu, estrogenów</w:t>
            </w:r>
          </w:p>
          <w:p>
            <w:pPr>
              <w:pStyle w:val="TableParagraph"/>
              <w:widowControl w:val="false"/>
              <w:numPr>
                <w:ilvl w:val="0"/>
                <w:numId w:val="135"/>
              </w:numPr>
              <w:tabs>
                <w:tab w:val="clear" w:pos="720"/>
                <w:tab w:val="left" w:pos="222" w:leader="none"/>
              </w:tabs>
              <w:spacing w:lineRule="auto" w:line="235" w:before="61" w:after="0"/>
              <w:ind w:hanging="170" w:left="221" w:right="235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uzasadnia, że nie należy bez konsultacji z lekarzem przyjmować preparatów i leków hormonalnych</w:t>
            </w:r>
          </w:p>
        </w:tc>
      </w:tr>
      <w:tr>
        <w:trPr>
          <w:trHeight w:val="1180" w:hRule="atLeast"/>
        </w:trPr>
        <w:tc>
          <w:tcPr>
            <w:tcW w:w="624" w:type="dxa"/>
            <w:vMerge w:val="continue"/>
            <w:tcBorders>
              <w:left w:val="single" w:sz="6" w:space="0" w:color="BCBEC0"/>
              <w:bottom w:val="single" w:sz="4" w:space="0" w:color="BCBEC0"/>
              <w:right w:val="single" w:sz="6" w:space="0" w:color="BCBEC0"/>
            </w:tcBorders>
            <w:shd w:color="auto" w:fill="auto" w:val="clear"/>
            <w:textDirection w:val="btLr"/>
          </w:tcPr>
          <w:p>
            <w:pPr>
              <w:pStyle w:val="Normal"/>
              <w:widowControl w:val="false"/>
              <w:spacing w:before="0" w:after="0"/>
              <w:contextualSpacing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878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pacing w:lineRule="auto" w:line="235" w:before="61" w:after="0"/>
              <w:ind w:hanging="258" w:left="308" w:right="76"/>
              <w:contextualSpacing/>
              <w:jc w:val="left"/>
              <w:rPr>
                <w:b/>
                <w:sz w:val="17"/>
              </w:rPr>
            </w:pPr>
            <w:r>
              <w:rPr>
                <w:b/>
                <w:kern w:val="0"/>
                <w:sz w:val="17"/>
                <w:szCs w:val="22"/>
                <w:lang w:eastAsia="en-US" w:bidi="ar-SA"/>
              </w:rPr>
              <w:t>27. Zaburzenia funkcjonowania układu hormonalnego</w:t>
            </w:r>
          </w:p>
        </w:tc>
        <w:tc>
          <w:tcPr>
            <w:tcW w:w="2171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136"/>
              </w:numPr>
              <w:tabs>
                <w:tab w:val="clear" w:pos="720"/>
                <w:tab w:val="left" w:pos="222" w:leader="none"/>
              </w:tabs>
              <w:spacing w:lineRule="auto" w:line="235" w:before="61" w:after="0"/>
              <w:ind w:hanging="170" w:left="221" w:right="255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wymienia skutki nadmiaru i niedoboru hormonu wzrostu</w:t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137"/>
              </w:numPr>
              <w:tabs>
                <w:tab w:val="clear" w:pos="720"/>
                <w:tab w:val="left" w:pos="222" w:leader="none"/>
              </w:tabs>
              <w:spacing w:lineRule="auto" w:line="238" w:before="59" w:after="0"/>
              <w:ind w:hanging="170" w:left="221" w:right="157"/>
              <w:contextualSpacing/>
              <w:jc w:val="left"/>
              <w:rPr>
                <w:rFonts w:ascii="Humanst521EU" w:hAnsi="Humanst521EU"/>
                <w:i/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 xml:space="preserve">wyjaśnia pojęcie </w:t>
            </w:r>
            <w:r>
              <w:rPr>
                <w:rFonts w:ascii="Humanst521EU" w:hAnsi="Humanst521EU"/>
                <w:i/>
                <w:kern w:val="0"/>
                <w:sz w:val="17"/>
                <w:szCs w:val="22"/>
                <w:lang w:eastAsia="en-US" w:bidi="ar-SA"/>
              </w:rPr>
              <w:t>równowaga hormonalna</w:t>
            </w:r>
          </w:p>
          <w:p>
            <w:pPr>
              <w:pStyle w:val="TableParagraph"/>
              <w:widowControl w:val="false"/>
              <w:numPr>
                <w:ilvl w:val="0"/>
                <w:numId w:val="137"/>
              </w:numPr>
              <w:tabs>
                <w:tab w:val="clear" w:pos="720"/>
                <w:tab w:val="left" w:pos="222" w:leader="none"/>
              </w:tabs>
              <w:spacing w:lineRule="auto" w:line="238" w:before="59" w:after="0"/>
              <w:ind w:hanging="170" w:left="221" w:right="157"/>
              <w:contextualSpacing/>
              <w:jc w:val="left"/>
              <w:rPr>
                <w:rFonts w:ascii="Humanst521EU" w:hAnsi="Humanst521EU"/>
                <w:i/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podaje przyczyny cukrzycy</w:t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138"/>
              </w:numPr>
              <w:tabs>
                <w:tab w:val="clear" w:pos="720"/>
                <w:tab w:val="left" w:pos="221" w:leader="none"/>
              </w:tabs>
              <w:spacing w:lineRule="auto" w:line="235" w:before="61" w:after="0"/>
              <w:ind w:hanging="170" w:left="220" w:right="90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interpretuje skutki nadmiaru i niedoboru hormonów</w:t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139"/>
              </w:numPr>
              <w:tabs>
                <w:tab w:val="clear" w:pos="720"/>
                <w:tab w:val="left" w:pos="221" w:leader="none"/>
              </w:tabs>
              <w:spacing w:lineRule="auto" w:line="235" w:before="61" w:after="0"/>
              <w:ind w:hanging="170" w:left="220" w:right="100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uzasadnia związek niedoboru insuliny z cukrzycą</w:t>
            </w:r>
          </w:p>
        </w:tc>
        <w:tc>
          <w:tcPr>
            <w:tcW w:w="2272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140"/>
              </w:numPr>
              <w:tabs>
                <w:tab w:val="clear" w:pos="720"/>
                <w:tab w:val="left" w:pos="221" w:leader="none"/>
              </w:tabs>
              <w:spacing w:lineRule="auto" w:line="235" w:before="61" w:after="0"/>
              <w:ind w:hanging="170" w:left="220" w:right="142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analizuje i wykazuje różnice między cukrzycą typu  I a  cukrzycą typu II</w:t>
            </w:r>
          </w:p>
        </w:tc>
      </w:tr>
      <w:tr>
        <w:trPr>
          <w:trHeight w:val="2840" w:hRule="atLeast"/>
        </w:trPr>
        <w:tc>
          <w:tcPr>
            <w:tcW w:w="624" w:type="dxa"/>
            <w:vMerge w:val="continue"/>
            <w:tcBorders>
              <w:left w:val="single" w:sz="6" w:space="0" w:color="BCBEC0"/>
              <w:bottom w:val="single" w:sz="4" w:space="0" w:color="BCBEC0"/>
              <w:right w:val="single" w:sz="6" w:space="0" w:color="BCBEC0"/>
            </w:tcBorders>
            <w:shd w:color="auto" w:fill="auto" w:val="clear"/>
            <w:textDirection w:val="btLr"/>
          </w:tcPr>
          <w:p>
            <w:pPr>
              <w:pStyle w:val="Normal"/>
              <w:widowControl w:val="false"/>
              <w:spacing w:before="0" w:after="0"/>
              <w:contextualSpacing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878" w:type="dxa"/>
            <w:tcBorders>
              <w:top w:val="single" w:sz="4" w:space="0" w:color="BCBEC0"/>
              <w:left w:val="single" w:sz="6" w:space="0" w:color="BCBEC0"/>
              <w:bottom w:val="single" w:sz="6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pacing w:lineRule="auto" w:line="235" w:before="61" w:after="0"/>
              <w:ind w:hanging="258" w:left="305" w:right="119"/>
              <w:contextualSpacing/>
              <w:jc w:val="left"/>
              <w:rPr>
                <w:b/>
                <w:sz w:val="17"/>
              </w:rPr>
            </w:pPr>
            <w:r>
              <w:rPr>
                <w:b/>
                <w:kern w:val="0"/>
                <w:sz w:val="17"/>
                <w:szCs w:val="22"/>
                <w:lang w:eastAsia="en-US" w:bidi="ar-SA"/>
              </w:rPr>
              <w:t>28. Budowa i rola układu nerwowego</w:t>
            </w:r>
          </w:p>
        </w:tc>
        <w:tc>
          <w:tcPr>
            <w:tcW w:w="2171" w:type="dxa"/>
            <w:tcBorders>
              <w:top w:val="single" w:sz="4" w:space="0" w:color="BCBEC0"/>
              <w:left w:val="single" w:sz="4" w:space="0" w:color="BCBEC0"/>
              <w:bottom w:val="single" w:sz="6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141"/>
              </w:numPr>
              <w:tabs>
                <w:tab w:val="clear" w:pos="720"/>
                <w:tab w:val="left" w:pos="221" w:leader="none"/>
              </w:tabs>
              <w:spacing w:lineRule="auto" w:line="235" w:before="61" w:after="0"/>
              <w:ind w:hanging="170" w:left="220" w:right="353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wymienia funkcje układu nerwowego</w:t>
            </w:r>
          </w:p>
          <w:p>
            <w:pPr>
              <w:pStyle w:val="TableParagraph"/>
              <w:widowControl w:val="false"/>
              <w:numPr>
                <w:ilvl w:val="0"/>
                <w:numId w:val="141"/>
              </w:numPr>
              <w:tabs>
                <w:tab w:val="clear" w:pos="720"/>
                <w:tab w:val="left" w:pos="221" w:leader="none"/>
              </w:tabs>
              <w:spacing w:lineRule="auto" w:line="235" w:before="0" w:after="0"/>
              <w:ind w:hanging="170" w:left="220" w:right="490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wymienia elementy budowy ośrodkowego i obwodowego układu nerwowego</w:t>
            </w:r>
          </w:p>
          <w:p>
            <w:pPr>
              <w:pStyle w:val="TableParagraph"/>
              <w:widowControl w:val="false"/>
              <w:numPr>
                <w:ilvl w:val="0"/>
                <w:numId w:val="141"/>
              </w:numPr>
              <w:tabs>
                <w:tab w:val="clear" w:pos="720"/>
                <w:tab w:val="left" w:pos="221" w:leader="none"/>
              </w:tabs>
              <w:spacing w:lineRule="auto" w:line="235" w:before="0" w:after="0"/>
              <w:ind w:hanging="170" w:left="220" w:right="362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rozpoznaje na ilustracji ośrodkowy i obwodowy układ nerwowy</w:t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6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142"/>
              </w:numPr>
              <w:tabs>
                <w:tab w:val="clear" w:pos="720"/>
                <w:tab w:val="left" w:pos="221" w:leader="none"/>
              </w:tabs>
              <w:spacing w:lineRule="auto" w:line="235" w:before="61" w:after="0"/>
              <w:ind w:hanging="170" w:left="220" w:right="277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opisuje elementy budowy komórki nerwowej</w:t>
            </w:r>
          </w:p>
          <w:p>
            <w:pPr>
              <w:pStyle w:val="TableParagraph"/>
              <w:widowControl w:val="false"/>
              <w:numPr>
                <w:ilvl w:val="0"/>
                <w:numId w:val="142"/>
              </w:numPr>
              <w:tabs>
                <w:tab w:val="clear" w:pos="720"/>
                <w:tab w:val="left" w:pos="221" w:leader="none"/>
              </w:tabs>
              <w:spacing w:lineRule="auto" w:line="235" w:before="0" w:after="0"/>
              <w:ind w:hanging="170" w:left="220" w:right="251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wskazuje na ilustracji neuronu przebieg impulsu nerwowego</w:t>
            </w:r>
          </w:p>
          <w:p>
            <w:pPr>
              <w:pStyle w:val="TableParagraph"/>
              <w:widowControl w:val="false"/>
              <w:numPr>
                <w:ilvl w:val="0"/>
                <w:numId w:val="142"/>
              </w:numPr>
              <w:tabs>
                <w:tab w:val="clear" w:pos="720"/>
                <w:tab w:val="left" w:pos="221" w:leader="none"/>
              </w:tabs>
              <w:spacing w:lineRule="auto" w:line="235" w:before="0" w:after="0"/>
              <w:ind w:hanging="170" w:left="220" w:right="100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wyróżnia somatyczny i autonomiczny układ nerwowy</w:t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6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143"/>
              </w:numPr>
              <w:tabs>
                <w:tab w:val="clear" w:pos="720"/>
                <w:tab w:val="left" w:pos="221" w:leader="none"/>
              </w:tabs>
              <w:spacing w:lineRule="auto" w:line="235" w:before="61" w:after="0"/>
              <w:ind w:hanging="170" w:left="220" w:right="522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opisuje funkcje układu nerwowego</w:t>
            </w:r>
          </w:p>
          <w:p>
            <w:pPr>
              <w:pStyle w:val="TableParagraph"/>
              <w:widowControl w:val="false"/>
              <w:numPr>
                <w:ilvl w:val="0"/>
                <w:numId w:val="143"/>
              </w:numPr>
              <w:tabs>
                <w:tab w:val="clear" w:pos="720"/>
                <w:tab w:val="left" w:pos="221" w:leader="none"/>
              </w:tabs>
              <w:spacing w:lineRule="auto" w:line="235" w:before="0" w:after="0"/>
              <w:ind w:hanging="170" w:left="220" w:right="206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wykazuje związek budowy komórki nerwowej z jej funkcją</w:t>
            </w:r>
          </w:p>
          <w:p>
            <w:pPr>
              <w:pStyle w:val="TableParagraph"/>
              <w:widowControl w:val="false"/>
              <w:numPr>
                <w:ilvl w:val="0"/>
                <w:numId w:val="143"/>
              </w:numPr>
              <w:tabs>
                <w:tab w:val="clear" w:pos="720"/>
                <w:tab w:val="left" w:pos="221" w:leader="none"/>
              </w:tabs>
              <w:spacing w:lineRule="auto" w:line="235" w:before="0" w:after="0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omawia działanie ośrodkowego i obwodowego układu nerwowego</w:t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6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144"/>
              </w:numPr>
              <w:tabs>
                <w:tab w:val="clear" w:pos="720"/>
                <w:tab w:val="left" w:pos="221" w:leader="none"/>
              </w:tabs>
              <w:spacing w:lineRule="auto" w:line="235" w:before="61" w:after="0"/>
              <w:ind w:hanging="170" w:left="220" w:right="312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wyjaśnia sposób działania synapsy</w:t>
            </w:r>
          </w:p>
          <w:p>
            <w:pPr>
              <w:pStyle w:val="TableParagraph"/>
              <w:widowControl w:val="false"/>
              <w:numPr>
                <w:ilvl w:val="0"/>
                <w:numId w:val="144"/>
              </w:numPr>
              <w:tabs>
                <w:tab w:val="clear" w:pos="720"/>
                <w:tab w:val="left" w:pos="221" w:leader="none"/>
              </w:tabs>
              <w:spacing w:lineRule="auto" w:line="235" w:before="0" w:after="0"/>
              <w:ind w:hanging="170" w:left="220" w:right="523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charakteryzuje funkcje somatycznego i autonomicznego układu nerwowego</w:t>
            </w:r>
          </w:p>
          <w:p>
            <w:pPr>
              <w:pStyle w:val="TableParagraph"/>
              <w:widowControl w:val="false"/>
              <w:numPr>
                <w:ilvl w:val="0"/>
                <w:numId w:val="144"/>
              </w:numPr>
              <w:tabs>
                <w:tab w:val="clear" w:pos="720"/>
                <w:tab w:val="left" w:pos="221" w:leader="none"/>
              </w:tabs>
              <w:spacing w:lineRule="auto" w:line="235" w:before="0" w:after="0"/>
              <w:ind w:hanging="170" w:left="220" w:right="536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porównuje funkcje współczulnej i przywspółczulnej części autonomicznego układu nerwowego</w:t>
            </w:r>
          </w:p>
        </w:tc>
        <w:tc>
          <w:tcPr>
            <w:tcW w:w="2272" w:type="dxa"/>
            <w:tcBorders>
              <w:top w:val="single" w:sz="4" w:space="0" w:color="BCBEC0"/>
              <w:left w:val="single" w:sz="4" w:space="0" w:color="BCBEC0"/>
              <w:bottom w:val="single" w:sz="6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145"/>
              </w:numPr>
              <w:tabs>
                <w:tab w:val="clear" w:pos="720"/>
                <w:tab w:val="left" w:pos="221" w:leader="none"/>
              </w:tabs>
              <w:spacing w:lineRule="auto" w:line="235" w:before="61" w:after="0"/>
              <w:ind w:hanging="170" w:left="220" w:right="442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ocenia rolę regulacji nerwowo-hormonalnej w prawidłowym funkcjonowaniu całego organizmu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221" w:leader="none"/>
              </w:tabs>
              <w:spacing w:lineRule="auto" w:line="235" w:before="61" w:after="0"/>
              <w:ind w:hanging="0" w:left="220" w:right="442"/>
              <w:contextualSpacing/>
              <w:jc w:val="left"/>
              <w:rPr>
                <w:sz w:val="17"/>
              </w:rPr>
            </w:pPr>
            <w:r>
              <w:rPr>
                <w:sz w:val="17"/>
              </w:rPr>
            </w:r>
          </w:p>
        </w:tc>
      </w:tr>
    </w:tbl>
    <w:p>
      <w:pPr>
        <w:sectPr>
          <w:footerReference w:type="even" r:id="rId26"/>
          <w:footerReference w:type="default" r:id="rId27"/>
          <w:footerReference w:type="first" r:id="rId28"/>
          <w:type w:val="nextPage"/>
          <w:pgSz w:orient="landscape" w:w="15600" w:h="11630"/>
          <w:pgMar w:left="740" w:right="880" w:gutter="0" w:header="0" w:top="840" w:footer="708" w:bottom="765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BodyText"/>
        <w:spacing w:before="0" w:after="0"/>
        <w:contextualSpacing/>
        <w:rPr>
          <w:rFonts w:ascii="Humanst521EU" w:hAnsi="Humanst521EU"/>
          <w:i w:val="false"/>
          <w:sz w:val="20"/>
        </w:rPr>
      </w:pPr>
      <w:r>
        <w:rPr>
          <w:rFonts w:ascii="Humanst521EU" w:hAnsi="Humanst521EU"/>
          <w:i w:val="false"/>
          <w:sz w:val="20"/>
        </w:rPr>
      </w:r>
    </w:p>
    <w:p>
      <w:pPr>
        <w:pStyle w:val="BodyText"/>
        <w:spacing w:before="0" w:after="0"/>
        <w:contextualSpacing/>
        <w:rPr>
          <w:rFonts w:ascii="Humanst521EU" w:hAnsi="Humanst521EU"/>
          <w:b/>
          <w:i w:val="false"/>
          <w:sz w:val="20"/>
        </w:rPr>
      </w:pPr>
      <w:r>
        <w:rPr>
          <w:rFonts w:ascii="Humanst521EU" w:hAnsi="Humanst521EU"/>
          <w:b/>
          <w:i w:val="false"/>
          <w:sz w:val="20"/>
        </w:rPr>
      </w:r>
    </w:p>
    <w:p>
      <w:pPr>
        <w:pStyle w:val="BodyText"/>
        <w:spacing w:before="1" w:after="1"/>
        <w:contextualSpacing/>
        <w:rPr>
          <w:rFonts w:ascii="Humanst521EU" w:hAnsi="Humanst521EU"/>
          <w:b/>
          <w:i w:val="false"/>
          <w:sz w:val="24"/>
        </w:rPr>
      </w:pPr>
      <w:r>
        <w:rPr>
          <w:rFonts w:ascii="Humanst521EU" w:hAnsi="Humanst521EU"/>
          <w:b/>
          <w:i w:val="false"/>
          <w:sz w:val="24"/>
        </w:rPr>
      </w:r>
    </w:p>
    <w:tbl>
      <w:tblPr>
        <w:tblStyle w:val="TableNormal"/>
        <w:tblW w:w="13749" w:type="dxa"/>
        <w:jc w:val="left"/>
        <w:tblInd w:w="850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 w:firstRow="1" w:noVBand="0" w:lastRow="1" w:firstColumn="1" w:lastColumn="1" w:noHBand="0"/>
      </w:tblPr>
      <w:tblGrid>
        <w:gridCol w:w="624"/>
        <w:gridCol w:w="1823"/>
        <w:gridCol w:w="2226"/>
        <w:gridCol w:w="2268"/>
        <w:gridCol w:w="2268"/>
        <w:gridCol w:w="2268"/>
        <w:gridCol w:w="2272"/>
      </w:tblGrid>
      <w:tr>
        <w:trPr>
          <w:trHeight w:val="400" w:hRule="atLeast"/>
        </w:trPr>
        <w:tc>
          <w:tcPr>
            <w:tcW w:w="624" w:type="dxa"/>
            <w:vMerge w:val="restart"/>
            <w:tcBorders>
              <w:top w:val="single" w:sz="4" w:space="0" w:color="BCBEC0"/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pacing w:before="5" w:after="0"/>
              <w:ind w:hanging="0" w:left="0"/>
              <w:contextualSpacing/>
              <w:jc w:val="left"/>
              <w:rPr>
                <w:rFonts w:ascii="Humanst521EU" w:hAnsi="Humanst521EU"/>
                <w:b/>
                <w:sz w:val="24"/>
              </w:rPr>
            </w:pPr>
            <w:r>
              <w:rPr>
                <w:rFonts w:ascii="Humanst521EU" w:hAnsi="Humanst521EU"/>
                <w:b/>
                <w:sz w:val="24"/>
              </w:rPr>
            </w:r>
          </w:p>
          <w:p>
            <w:pPr>
              <w:pStyle w:val="TableParagraph"/>
              <w:widowControl w:val="false"/>
              <w:spacing w:before="0" w:after="0"/>
              <w:ind w:hanging="0" w:left="109"/>
              <w:contextualSpacing/>
              <w:jc w:val="left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Dział</w:t>
            </w:r>
          </w:p>
        </w:tc>
        <w:tc>
          <w:tcPr>
            <w:tcW w:w="1823" w:type="dxa"/>
            <w:vMerge w:val="restart"/>
            <w:tcBorders>
              <w:top w:val="single" w:sz="4" w:space="0" w:color="BCBEC0"/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pacing w:before="5" w:after="0"/>
              <w:ind w:hanging="0" w:left="0"/>
              <w:contextualSpacing/>
              <w:jc w:val="left"/>
              <w:rPr>
                <w:rFonts w:ascii="Humanst521EU" w:hAnsi="Humanst521EU"/>
                <w:b/>
                <w:sz w:val="24"/>
              </w:rPr>
            </w:pPr>
            <w:r>
              <w:rPr>
                <w:rFonts w:ascii="Humanst521EU" w:hAnsi="Humanst521EU"/>
                <w:b/>
                <w:sz w:val="24"/>
              </w:rPr>
            </w:r>
          </w:p>
          <w:p>
            <w:pPr>
              <w:pStyle w:val="TableParagraph"/>
              <w:widowControl w:val="false"/>
              <w:spacing w:before="0" w:after="0"/>
              <w:ind w:hanging="0" w:left="613" w:right="613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Temat</w:t>
            </w:r>
          </w:p>
        </w:tc>
        <w:tc>
          <w:tcPr>
            <w:tcW w:w="11302" w:type="dxa"/>
            <w:gridSpan w:val="5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pacing w:before="92" w:after="0"/>
              <w:ind w:hanging="0" w:left="4975" w:right="4975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Poziom wymagań</w:t>
            </w:r>
          </w:p>
        </w:tc>
      </w:tr>
      <w:tr>
        <w:trPr>
          <w:trHeight w:val="380" w:hRule="atLeast"/>
        </w:trPr>
        <w:tc>
          <w:tcPr>
            <w:tcW w:w="624" w:type="dxa"/>
            <w:vMerge w:val="continue"/>
            <w:tcBorders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contextualSpacing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823" w:type="dxa"/>
            <w:vMerge w:val="continue"/>
            <w:tcBorders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contextualSpacing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226" w:type="dxa"/>
            <w:tcBorders>
              <w:top w:val="single" w:sz="4" w:space="0" w:color="BCBEC0"/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pacing w:before="87" w:after="0"/>
              <w:ind w:hanging="0" w:left="334"/>
              <w:contextualSpacing/>
              <w:jc w:val="left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ocena dopuszczająca</w:t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pacing w:before="87" w:after="0"/>
              <w:ind w:hanging="0" w:left="418"/>
              <w:contextualSpacing/>
              <w:jc w:val="left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ocena dostateczna</w:t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pacing w:before="87" w:after="0"/>
              <w:ind w:hanging="0" w:left="656"/>
              <w:contextualSpacing/>
              <w:jc w:val="left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ocena dobra</w:t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pacing w:before="87" w:after="0"/>
              <w:ind w:hanging="0" w:left="365"/>
              <w:contextualSpacing/>
              <w:jc w:val="left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ocena bardzo dobra</w:t>
            </w:r>
          </w:p>
        </w:tc>
        <w:tc>
          <w:tcPr>
            <w:tcW w:w="2272" w:type="dxa"/>
            <w:tcBorders>
              <w:top w:val="single" w:sz="4" w:space="0" w:color="BCBEC0"/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pacing w:before="87" w:after="0"/>
              <w:ind w:hanging="0" w:left="576"/>
              <w:contextualSpacing/>
              <w:jc w:val="left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ocena celująca</w:t>
            </w:r>
          </w:p>
        </w:tc>
      </w:tr>
      <w:tr>
        <w:trPr>
          <w:trHeight w:val="1660" w:hRule="atLeast"/>
        </w:trPr>
        <w:tc>
          <w:tcPr>
            <w:tcW w:w="624" w:type="dxa"/>
            <w:vMerge w:val="restart"/>
            <w:tcBorders>
              <w:top w:val="single" w:sz="8" w:space="0" w:color="FDB515"/>
              <w:left w:val="single" w:sz="6" w:space="0" w:color="BCBEC0"/>
              <w:bottom w:val="single" w:sz="4" w:space="0" w:color="BCBEC0"/>
              <w:right w:val="single" w:sz="6" w:space="0" w:color="BCBEC0"/>
            </w:tcBorders>
            <w:shd w:color="auto" w:fill="auto" w:val="clear"/>
            <w:textDirection w:val="btLr"/>
          </w:tcPr>
          <w:p>
            <w:pPr>
              <w:pStyle w:val="TableParagraph"/>
              <w:widowControl w:val="false"/>
              <w:spacing w:before="9" w:after="0"/>
              <w:ind w:hanging="0" w:left="0"/>
              <w:contextualSpacing/>
              <w:jc w:val="left"/>
              <w:rPr>
                <w:rFonts w:ascii="Humanst521EU" w:hAnsi="Humanst521EU"/>
                <w:b/>
                <w:sz w:val="15"/>
              </w:rPr>
            </w:pPr>
            <w:r>
              <w:rPr>
                <w:rFonts w:ascii="Humanst521EU" w:hAnsi="Humanst521EU"/>
                <w:b/>
                <w:sz w:val="15"/>
              </w:rPr>
            </w:r>
          </w:p>
          <w:p>
            <w:pPr>
              <w:pStyle w:val="TableParagraph"/>
              <w:widowControl w:val="false"/>
              <w:spacing w:before="1" w:after="0"/>
              <w:ind w:hanging="0" w:left="1681"/>
              <w:contextualSpacing/>
              <w:jc w:val="left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 xml:space="preserve">VII. </w:t>
            </w:r>
            <w:r>
              <w:rPr>
                <w:rFonts w:ascii="Humanst521EU" w:hAnsi="Humanst521EU"/>
                <w:b/>
                <w:spacing w:val="-3"/>
                <w:kern w:val="0"/>
                <w:sz w:val="17"/>
                <w:szCs w:val="22"/>
                <w:lang w:eastAsia="en-US" w:bidi="ar-SA"/>
              </w:rPr>
              <w:t>Układ nerwowy</w:t>
            </w:r>
          </w:p>
        </w:tc>
        <w:tc>
          <w:tcPr>
            <w:tcW w:w="1823" w:type="dxa"/>
            <w:tcBorders>
              <w:top w:val="single" w:sz="8" w:space="0" w:color="FDB515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pacing w:lineRule="auto" w:line="235" w:before="61" w:after="0"/>
              <w:ind w:hanging="258" w:left="309" w:right="212"/>
              <w:contextualSpacing/>
              <w:jc w:val="left"/>
              <w:rPr>
                <w:b/>
                <w:sz w:val="17"/>
              </w:rPr>
            </w:pPr>
            <w:r>
              <w:rPr>
                <w:b/>
                <w:kern w:val="0"/>
                <w:sz w:val="17"/>
                <w:szCs w:val="22"/>
                <w:lang w:eastAsia="en-US" w:bidi="ar-SA"/>
              </w:rPr>
              <w:t>29. Ośrodkowy układ nerwowy</w:t>
            </w:r>
          </w:p>
        </w:tc>
        <w:tc>
          <w:tcPr>
            <w:tcW w:w="2226" w:type="dxa"/>
            <w:tcBorders>
              <w:top w:val="single" w:sz="8" w:space="0" w:color="FDB515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146"/>
              </w:numPr>
              <w:tabs>
                <w:tab w:val="clear" w:pos="720"/>
                <w:tab w:val="left" w:pos="222" w:leader="none"/>
              </w:tabs>
              <w:spacing w:lineRule="auto" w:line="235" w:before="61" w:after="0"/>
              <w:ind w:hanging="170" w:left="221" w:right="424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wskazuje na ilustracji najważniejsze elementy mózgowia</w:t>
            </w:r>
          </w:p>
          <w:p>
            <w:pPr>
              <w:pStyle w:val="TableParagraph"/>
              <w:widowControl w:val="false"/>
              <w:numPr>
                <w:ilvl w:val="0"/>
                <w:numId w:val="146"/>
              </w:numPr>
              <w:tabs>
                <w:tab w:val="clear" w:pos="720"/>
                <w:tab w:val="left" w:pos="222" w:leader="none"/>
              </w:tabs>
              <w:spacing w:lineRule="auto" w:line="235" w:before="0" w:after="0"/>
              <w:ind w:hanging="170" w:left="221" w:right="110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wymienia mózgowie i rdzeń kręgowy jako narządy ośrodkowego układu nerwowego</w:t>
            </w:r>
          </w:p>
        </w:tc>
        <w:tc>
          <w:tcPr>
            <w:tcW w:w="2268" w:type="dxa"/>
            <w:tcBorders>
              <w:top w:val="single" w:sz="8" w:space="0" w:color="FDB515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147"/>
              </w:numPr>
              <w:tabs>
                <w:tab w:val="clear" w:pos="720"/>
                <w:tab w:val="left" w:pos="222" w:leader="none"/>
              </w:tabs>
              <w:spacing w:lineRule="auto" w:line="235" w:before="61" w:after="0"/>
              <w:ind w:hanging="170" w:left="221" w:right="133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wskazuje elementy budowy rdzenia kręgowego na ilustracji</w:t>
            </w:r>
          </w:p>
        </w:tc>
        <w:tc>
          <w:tcPr>
            <w:tcW w:w="2268" w:type="dxa"/>
            <w:tcBorders>
              <w:top w:val="single" w:sz="8" w:space="0" w:color="FDB515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148"/>
              </w:numPr>
              <w:tabs>
                <w:tab w:val="clear" w:pos="720"/>
                <w:tab w:val="left" w:pos="222" w:leader="none"/>
              </w:tabs>
              <w:spacing w:lineRule="auto" w:line="235" w:before="61" w:after="0"/>
              <w:ind w:hanging="170" w:left="221" w:right="400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opisuje budowę rdzenia kręgowego</w:t>
            </w:r>
          </w:p>
          <w:p>
            <w:pPr>
              <w:pStyle w:val="TableParagraph"/>
              <w:widowControl w:val="false"/>
              <w:numPr>
                <w:ilvl w:val="0"/>
                <w:numId w:val="148"/>
              </w:numPr>
              <w:tabs>
                <w:tab w:val="clear" w:pos="720"/>
                <w:tab w:val="left" w:pos="222" w:leader="none"/>
              </w:tabs>
              <w:spacing w:lineRule="auto" w:line="235" w:before="0" w:after="0"/>
              <w:ind w:hanging="170" w:left="221" w:right="79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objaśnia na ilustracji budowę mózgowia</w:t>
            </w:r>
          </w:p>
        </w:tc>
        <w:tc>
          <w:tcPr>
            <w:tcW w:w="2268" w:type="dxa"/>
            <w:tcBorders>
              <w:top w:val="single" w:sz="8" w:space="0" w:color="FDB515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149"/>
              </w:numPr>
              <w:tabs>
                <w:tab w:val="clear" w:pos="720"/>
                <w:tab w:val="left" w:pos="222" w:leader="none"/>
              </w:tabs>
              <w:spacing w:lineRule="auto" w:line="235" w:before="61" w:after="0"/>
              <w:ind w:hanging="170" w:left="221" w:right="458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określa mózgowie jako jednostkę nadrzędną w stosunku do pozostałych części układu nerwowego</w:t>
            </w:r>
          </w:p>
        </w:tc>
        <w:tc>
          <w:tcPr>
            <w:tcW w:w="2272" w:type="dxa"/>
            <w:tcBorders>
              <w:top w:val="single" w:sz="8" w:space="0" w:color="FDB515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150"/>
              </w:numPr>
              <w:tabs>
                <w:tab w:val="clear" w:pos="720"/>
                <w:tab w:val="left" w:pos="222" w:leader="none"/>
              </w:tabs>
              <w:spacing w:lineRule="auto" w:line="235" w:before="61" w:after="0"/>
              <w:ind w:hanging="170" w:left="221" w:right="91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uzasadnia nadrzędną funkcję mózgowia w stosunku do pozostałych części układu nerwowego</w:t>
            </w:r>
          </w:p>
        </w:tc>
      </w:tr>
      <w:tr>
        <w:trPr>
          <w:trHeight w:val="1723" w:hRule="atLeast"/>
        </w:trPr>
        <w:tc>
          <w:tcPr>
            <w:tcW w:w="624" w:type="dxa"/>
            <w:vMerge w:val="continue"/>
            <w:tcBorders>
              <w:left w:val="single" w:sz="6" w:space="0" w:color="BCBEC0"/>
              <w:bottom w:val="single" w:sz="4" w:space="0" w:color="BCBEC0"/>
              <w:right w:val="single" w:sz="6" w:space="0" w:color="BCBEC0"/>
            </w:tcBorders>
            <w:shd w:color="auto" w:fill="auto" w:val="clear"/>
            <w:textDirection w:val="btLr"/>
          </w:tcPr>
          <w:p>
            <w:pPr>
              <w:pStyle w:val="Normal"/>
              <w:widowControl w:val="false"/>
              <w:spacing w:before="0" w:after="0"/>
              <w:contextualSpacing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823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pacing w:lineRule="auto" w:line="235" w:before="61" w:after="0"/>
              <w:ind w:hanging="258" w:left="308"/>
              <w:contextualSpacing/>
              <w:jc w:val="left"/>
              <w:rPr>
                <w:b/>
                <w:sz w:val="17"/>
              </w:rPr>
            </w:pPr>
            <w:r>
              <w:rPr>
                <w:b/>
                <w:kern w:val="0"/>
                <w:sz w:val="17"/>
                <w:szCs w:val="22"/>
                <w:lang w:eastAsia="en-US" w:bidi="ar-SA"/>
              </w:rPr>
              <w:t>30. Obwodowy układ nerwowy. Odruchy</w:t>
            </w:r>
          </w:p>
        </w:tc>
        <w:tc>
          <w:tcPr>
            <w:tcW w:w="2226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151"/>
              </w:numPr>
              <w:tabs>
                <w:tab w:val="clear" w:pos="720"/>
                <w:tab w:val="left" w:pos="222" w:leader="none"/>
              </w:tabs>
              <w:spacing w:lineRule="auto" w:line="235" w:before="61" w:after="0"/>
              <w:ind w:hanging="170" w:left="221" w:right="211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wymienia rodzaje nerwów obwodowych</w:t>
            </w:r>
          </w:p>
          <w:p>
            <w:pPr>
              <w:pStyle w:val="TableParagraph"/>
              <w:widowControl w:val="false"/>
              <w:numPr>
                <w:ilvl w:val="0"/>
                <w:numId w:val="151"/>
              </w:numPr>
              <w:tabs>
                <w:tab w:val="clear" w:pos="720"/>
                <w:tab w:val="left" w:pos="222" w:leader="none"/>
              </w:tabs>
              <w:spacing w:lineRule="auto" w:line="235" w:before="0" w:after="0"/>
              <w:ind w:hanging="170" w:left="221" w:right="316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podaje po trzy przykłady odruchów warunkowych i bezwarunkowych</w:t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152"/>
              </w:numPr>
              <w:tabs>
                <w:tab w:val="clear" w:pos="720"/>
                <w:tab w:val="left" w:pos="222" w:leader="none"/>
              </w:tabs>
              <w:spacing w:lineRule="auto" w:line="223" w:before="71" w:after="0"/>
              <w:ind w:hanging="170" w:left="221" w:right="176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wyróżnia nerwy czuciowe i ruchowe</w:t>
            </w:r>
          </w:p>
          <w:p>
            <w:pPr>
              <w:pStyle w:val="TableParagraph"/>
              <w:widowControl w:val="false"/>
              <w:numPr>
                <w:ilvl w:val="0"/>
                <w:numId w:val="152"/>
              </w:numPr>
              <w:tabs>
                <w:tab w:val="clear" w:pos="720"/>
                <w:tab w:val="left" w:pos="222" w:leader="none"/>
              </w:tabs>
              <w:spacing w:lineRule="auto" w:line="223" w:before="0" w:after="0"/>
              <w:ind w:hanging="170" w:left="221" w:right="459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omawia na</w:t>
            </w:r>
            <w:r>
              <w:rPr>
                <w:kern w:val="0"/>
                <w:sz w:val="22"/>
                <w:szCs w:val="22"/>
                <w:lang w:eastAsia="en-US" w:bidi="ar-SA"/>
              </w:rPr>
              <w:t> </w:t>
            </w:r>
            <w:r>
              <w:rPr>
                <w:kern w:val="0"/>
                <w:sz w:val="17"/>
                <w:szCs w:val="22"/>
                <w:lang w:eastAsia="en-US" w:bidi="ar-SA"/>
              </w:rPr>
              <w:t>podstawie ilustracji drogę impulsu nerwowego w łuku odruchowym</w:t>
            </w:r>
          </w:p>
          <w:p>
            <w:pPr>
              <w:pStyle w:val="TableParagraph"/>
              <w:widowControl w:val="false"/>
              <w:numPr>
                <w:ilvl w:val="0"/>
                <w:numId w:val="152"/>
              </w:numPr>
              <w:tabs>
                <w:tab w:val="clear" w:pos="720"/>
                <w:tab w:val="left" w:pos="222" w:leader="none"/>
              </w:tabs>
              <w:spacing w:lineRule="auto" w:line="223" w:before="0" w:after="0"/>
              <w:ind w:hanging="170" w:left="221" w:right="826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odróżnia odruchy warunkowe i bezwarunkowe</w:t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153"/>
              </w:numPr>
              <w:tabs>
                <w:tab w:val="clear" w:pos="720"/>
                <w:tab w:val="left" w:pos="221" w:leader="none"/>
              </w:tabs>
              <w:spacing w:lineRule="auto" w:line="223" w:before="71" w:after="0"/>
              <w:ind w:hanging="170" w:left="220" w:right="341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wyjaśnia różnicę między odruchem warunkowym a bezwarunkowym</w:t>
            </w:r>
          </w:p>
          <w:p>
            <w:pPr>
              <w:pStyle w:val="TableParagraph"/>
              <w:widowControl w:val="false"/>
              <w:numPr>
                <w:ilvl w:val="0"/>
                <w:numId w:val="153"/>
              </w:numPr>
              <w:tabs>
                <w:tab w:val="clear" w:pos="720"/>
                <w:tab w:val="left" w:pos="221" w:leader="none"/>
              </w:tabs>
              <w:spacing w:lineRule="auto" w:line="223" w:before="0" w:after="0"/>
              <w:ind w:hanging="170" w:left="220" w:right="73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przedstawia graficznie drogę impulsu nerwowego w łuku odruchowym</w:t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154"/>
              </w:numPr>
              <w:tabs>
                <w:tab w:val="clear" w:pos="720"/>
                <w:tab w:val="left" w:pos="221" w:leader="none"/>
              </w:tabs>
              <w:spacing w:lineRule="auto" w:line="235" w:before="0" w:after="0"/>
              <w:ind w:hanging="170" w:left="220" w:right="546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na podstawie rysunku wyjaśnia mechanizm odruchu kolanowego</w:t>
            </w:r>
          </w:p>
          <w:p>
            <w:pPr>
              <w:pStyle w:val="TableParagraph"/>
              <w:widowControl w:val="false"/>
              <w:numPr>
                <w:ilvl w:val="0"/>
                <w:numId w:val="153"/>
              </w:numPr>
              <w:tabs>
                <w:tab w:val="clear" w:pos="720"/>
                <w:tab w:val="left" w:pos="221" w:leader="none"/>
              </w:tabs>
              <w:spacing w:lineRule="auto" w:line="223" w:before="0" w:after="0"/>
              <w:ind w:hanging="170" w:left="220" w:right="611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charakteryzuje odruchy warunkowe i bezwarunkowe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221" w:leader="none"/>
              </w:tabs>
              <w:spacing w:lineRule="auto" w:line="235" w:before="0" w:after="0"/>
              <w:ind w:hanging="0" w:left="220" w:right="546"/>
              <w:contextualSpacing/>
              <w:jc w:val="left"/>
              <w:rPr>
                <w:sz w:val="17"/>
              </w:rPr>
            </w:pPr>
            <w:r>
              <w:rPr>
                <w:sz w:val="17"/>
              </w:rPr>
            </w:r>
          </w:p>
        </w:tc>
        <w:tc>
          <w:tcPr>
            <w:tcW w:w="2272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155"/>
              </w:numPr>
              <w:tabs>
                <w:tab w:val="clear" w:pos="720"/>
                <w:tab w:val="left" w:pos="221" w:leader="none"/>
              </w:tabs>
              <w:spacing w:lineRule="auto" w:line="235" w:before="60" w:after="0"/>
              <w:ind w:hanging="170" w:left="220" w:right="316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dowodzi znaczenia odruchów warunkowych i bezwarunkowych w życiu człowieka</w:t>
            </w:r>
          </w:p>
          <w:p>
            <w:pPr>
              <w:pStyle w:val="TableParagraph"/>
              <w:widowControl w:val="false"/>
              <w:numPr>
                <w:ilvl w:val="0"/>
                <w:numId w:val="154"/>
              </w:numPr>
              <w:tabs>
                <w:tab w:val="clear" w:pos="720"/>
                <w:tab w:val="left" w:pos="221" w:leader="none"/>
              </w:tabs>
              <w:spacing w:lineRule="auto" w:line="235" w:before="60" w:after="0"/>
              <w:ind w:hanging="170" w:left="220" w:right="143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przedstawia rolę odruchów warunkowych w procesie uczenia się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221" w:leader="none"/>
              </w:tabs>
              <w:spacing w:lineRule="auto" w:line="235" w:before="60" w:after="0"/>
              <w:ind w:hanging="0" w:left="220" w:right="316"/>
              <w:contextualSpacing/>
              <w:jc w:val="left"/>
              <w:rPr>
                <w:sz w:val="17"/>
              </w:rPr>
            </w:pPr>
            <w:r>
              <w:rPr>
                <w:sz w:val="17"/>
              </w:rPr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221" w:leader="none"/>
              </w:tabs>
              <w:spacing w:lineRule="auto" w:line="235" w:before="0" w:after="0"/>
              <w:ind w:hanging="0" w:left="220" w:right="151"/>
              <w:contextualSpacing/>
              <w:jc w:val="left"/>
              <w:rPr>
                <w:sz w:val="17"/>
              </w:rPr>
            </w:pPr>
            <w:r>
              <w:rPr>
                <w:sz w:val="17"/>
              </w:rPr>
            </w:r>
          </w:p>
        </w:tc>
      </w:tr>
      <w:tr>
        <w:trPr>
          <w:trHeight w:val="2400" w:hRule="atLeast"/>
        </w:trPr>
        <w:tc>
          <w:tcPr>
            <w:tcW w:w="624" w:type="dxa"/>
            <w:vMerge w:val="continue"/>
            <w:tcBorders>
              <w:left w:val="single" w:sz="6" w:space="0" w:color="BCBEC0"/>
              <w:bottom w:val="single" w:sz="4" w:space="0" w:color="BCBEC0"/>
              <w:right w:val="single" w:sz="6" w:space="0" w:color="BCBEC0"/>
            </w:tcBorders>
            <w:shd w:color="auto" w:fill="auto" w:val="clear"/>
            <w:textDirection w:val="btLr"/>
          </w:tcPr>
          <w:p>
            <w:pPr>
              <w:pStyle w:val="Normal"/>
              <w:widowControl w:val="false"/>
              <w:spacing w:before="0" w:after="0"/>
              <w:contextualSpacing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823" w:type="dxa"/>
            <w:tcBorders>
              <w:top w:val="single" w:sz="4" w:space="0" w:color="BCBEC0"/>
              <w:left w:val="single" w:sz="6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pacing w:lineRule="auto" w:line="235" w:before="60" w:after="0"/>
              <w:ind w:hanging="258" w:left="305" w:right="239"/>
              <w:contextualSpacing/>
              <w:jc w:val="left"/>
              <w:rPr>
                <w:b/>
                <w:sz w:val="17"/>
              </w:rPr>
            </w:pPr>
            <w:r>
              <w:rPr>
                <w:b/>
                <w:kern w:val="0"/>
                <w:sz w:val="17"/>
                <w:szCs w:val="22"/>
                <w:lang w:eastAsia="en-US" w:bidi="ar-SA"/>
              </w:rPr>
              <w:t>31. Higiena  układu nerwowego</w:t>
            </w:r>
          </w:p>
        </w:tc>
        <w:tc>
          <w:tcPr>
            <w:tcW w:w="2226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156"/>
              </w:numPr>
              <w:tabs>
                <w:tab w:val="clear" w:pos="720"/>
                <w:tab w:val="left" w:pos="221" w:leader="none"/>
              </w:tabs>
              <w:spacing w:lineRule="auto" w:line="235" w:before="60" w:after="0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wymienia czynniki wywołujące stres</w:t>
            </w:r>
          </w:p>
          <w:p>
            <w:pPr>
              <w:pStyle w:val="TableParagraph"/>
              <w:widowControl w:val="false"/>
              <w:numPr>
                <w:ilvl w:val="0"/>
                <w:numId w:val="156"/>
              </w:numPr>
              <w:tabs>
                <w:tab w:val="clear" w:pos="720"/>
                <w:tab w:val="left" w:pos="222" w:leader="none"/>
              </w:tabs>
              <w:spacing w:lineRule="exact" w:line="206" w:before="57" w:after="0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podaje przykłady używek</w:t>
            </w:r>
          </w:p>
          <w:p>
            <w:pPr>
              <w:pStyle w:val="TableParagraph"/>
              <w:widowControl w:val="false"/>
              <w:numPr>
                <w:ilvl w:val="0"/>
                <w:numId w:val="156"/>
              </w:numPr>
              <w:tabs>
                <w:tab w:val="clear" w:pos="720"/>
                <w:tab w:val="left" w:pos="221" w:leader="none"/>
              </w:tabs>
              <w:spacing w:lineRule="auto" w:line="235" w:before="0" w:after="0"/>
              <w:ind w:hanging="170" w:left="220" w:right="338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wymienia skutki zażywania niektórych substancji psychoaktywnych dla stanu zdrowia</w:t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157"/>
              </w:numPr>
              <w:tabs>
                <w:tab w:val="clear" w:pos="720"/>
                <w:tab w:val="left" w:pos="221" w:leader="none"/>
              </w:tabs>
              <w:spacing w:lineRule="auto" w:line="235" w:before="60" w:after="0"/>
              <w:ind w:hanging="170" w:left="220" w:right="160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wymienia sposoby radzenia sobie ze stresem</w:t>
            </w:r>
          </w:p>
          <w:p>
            <w:pPr>
              <w:pStyle w:val="TableParagraph"/>
              <w:widowControl w:val="false"/>
              <w:numPr>
                <w:ilvl w:val="0"/>
                <w:numId w:val="157"/>
              </w:numPr>
              <w:tabs>
                <w:tab w:val="clear" w:pos="720"/>
                <w:tab w:val="left" w:pos="221" w:leader="none"/>
              </w:tabs>
              <w:spacing w:lineRule="auto" w:line="235" w:before="61" w:after="0"/>
              <w:ind w:hanging="170" w:left="220" w:right="119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przedstawia negatywny wpływ na zdrowie człowieka niektórych substancji psychoaktywnych oraz nadużywania kofeiny</w:t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158"/>
              </w:numPr>
              <w:tabs>
                <w:tab w:val="clear" w:pos="720"/>
                <w:tab w:val="left" w:pos="221" w:leader="none"/>
              </w:tabs>
              <w:spacing w:lineRule="exact" w:line="206" w:before="56" w:after="0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wyjaśnia dodatni i ujemny wpływ stresu na funkcjonowanie organizmu</w:t>
            </w:r>
          </w:p>
          <w:p>
            <w:pPr>
              <w:pStyle w:val="TableParagraph"/>
              <w:widowControl w:val="false"/>
              <w:numPr>
                <w:ilvl w:val="0"/>
                <w:numId w:val="158"/>
              </w:numPr>
              <w:tabs>
                <w:tab w:val="clear" w:pos="720"/>
                <w:tab w:val="left" w:pos="221" w:leader="none"/>
              </w:tabs>
              <w:spacing w:lineRule="auto" w:line="235" w:before="61" w:after="0"/>
              <w:ind w:hanging="170" w:left="220" w:right="533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opisuje wpływ palenia tytoniu na zdrowie</w:t>
            </w:r>
          </w:p>
          <w:p>
            <w:pPr>
              <w:pStyle w:val="TableParagraph"/>
              <w:widowControl w:val="false"/>
              <w:numPr>
                <w:ilvl w:val="0"/>
                <w:numId w:val="158"/>
              </w:numPr>
              <w:tabs>
                <w:tab w:val="clear" w:pos="720"/>
                <w:tab w:val="left" w:pos="221" w:leader="none"/>
              </w:tabs>
              <w:spacing w:lineRule="exact" w:line="206" w:before="56" w:after="0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wyjaśnia znaczenie profilaktyki uzależnień</w:t>
            </w:r>
          </w:p>
          <w:p>
            <w:pPr>
              <w:pStyle w:val="TableParagraph"/>
              <w:widowControl w:val="false"/>
              <w:spacing w:lineRule="auto" w:line="235" w:before="2" w:after="0"/>
              <w:ind w:hanging="0" w:left="220" w:right="481"/>
              <w:contextualSpacing/>
              <w:jc w:val="left"/>
              <w:rPr>
                <w:sz w:val="17"/>
              </w:rPr>
            </w:pPr>
            <w:r>
              <w:rPr>
                <w:sz w:val="17"/>
              </w:rPr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159"/>
              </w:numPr>
              <w:tabs>
                <w:tab w:val="clear" w:pos="720"/>
                <w:tab w:val="left" w:pos="221" w:leader="none"/>
              </w:tabs>
              <w:spacing w:lineRule="exact" w:line="202" w:before="0" w:after="0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omawia wpływ snu na procesy uczenia się i zapamiętywania oraz na odporność organizmu</w:t>
            </w:r>
          </w:p>
          <w:p>
            <w:pPr>
              <w:pStyle w:val="TableParagraph"/>
              <w:widowControl w:val="false"/>
              <w:numPr>
                <w:ilvl w:val="0"/>
                <w:numId w:val="159"/>
              </w:numPr>
              <w:tabs>
                <w:tab w:val="clear" w:pos="720"/>
                <w:tab w:val="left" w:pos="221" w:leader="none"/>
              </w:tabs>
              <w:spacing w:lineRule="auto" w:line="235" w:before="61" w:after="0"/>
              <w:ind w:hanging="170" w:left="220" w:right="162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wykazuje zależność między przyjmowaniem używek a powstawaniem nałogu</w:t>
            </w:r>
          </w:p>
          <w:p>
            <w:pPr>
              <w:pStyle w:val="TableParagraph"/>
              <w:widowControl w:val="false"/>
              <w:numPr>
                <w:ilvl w:val="0"/>
                <w:numId w:val="158"/>
              </w:numPr>
              <w:tabs>
                <w:tab w:val="clear" w:pos="720"/>
                <w:tab w:val="left" w:pos="221" w:leader="none"/>
              </w:tabs>
              <w:spacing w:lineRule="auto" w:line="235" w:before="0" w:after="0"/>
              <w:ind w:hanging="170" w:left="220" w:right="132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omawia skutki działania alkoholu na funkcjonowanie organizmu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221" w:leader="none"/>
              </w:tabs>
              <w:spacing w:lineRule="auto" w:line="235" w:before="2" w:after="0"/>
              <w:ind w:hanging="0" w:left="220" w:right="105"/>
              <w:contextualSpacing/>
              <w:jc w:val="left"/>
              <w:rPr>
                <w:sz w:val="17"/>
              </w:rPr>
            </w:pPr>
            <w:r>
              <w:rPr>
                <w:sz w:val="17"/>
              </w:rPr>
            </w:r>
          </w:p>
        </w:tc>
        <w:tc>
          <w:tcPr>
            <w:tcW w:w="2272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160"/>
              </w:numPr>
              <w:tabs>
                <w:tab w:val="clear" w:pos="720"/>
                <w:tab w:val="left" w:pos="221" w:leader="none"/>
              </w:tabs>
              <w:spacing w:lineRule="auto" w:line="235" w:before="60" w:after="0"/>
              <w:ind w:hanging="170" w:left="220" w:right="169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analizuje związek między prawidłowym wysypianiem się a funkcjonowaniem organizmu</w:t>
            </w:r>
          </w:p>
          <w:p>
            <w:pPr>
              <w:pStyle w:val="TableParagraph"/>
              <w:widowControl w:val="false"/>
              <w:numPr>
                <w:ilvl w:val="0"/>
                <w:numId w:val="160"/>
              </w:numPr>
              <w:tabs>
                <w:tab w:val="clear" w:pos="720"/>
                <w:tab w:val="left" w:pos="221" w:leader="none"/>
              </w:tabs>
              <w:spacing w:lineRule="auto" w:line="235" w:before="60" w:after="0"/>
              <w:ind w:hanging="170" w:left="220" w:right="169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wskazuje alternatywne zajęcia pomagające uniknąć uzależnień</w:t>
            </w:r>
          </w:p>
          <w:p>
            <w:pPr>
              <w:pStyle w:val="TableParagraph"/>
              <w:widowControl w:val="false"/>
              <w:numPr>
                <w:ilvl w:val="0"/>
                <w:numId w:val="158"/>
              </w:numPr>
              <w:tabs>
                <w:tab w:val="clear" w:pos="720"/>
                <w:tab w:val="left" w:pos="221" w:leader="none"/>
              </w:tabs>
              <w:spacing w:lineRule="auto" w:line="235" w:before="61" w:after="0"/>
              <w:ind w:hanging="170" w:left="220" w:right="533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ocenia wpływ palenia tytoniu na zdrowie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221" w:leader="none"/>
              </w:tabs>
              <w:spacing w:lineRule="auto" w:line="235" w:before="60" w:after="0"/>
              <w:ind w:hanging="0" w:left="220" w:right="169"/>
              <w:contextualSpacing/>
              <w:jc w:val="left"/>
              <w:rPr>
                <w:sz w:val="17"/>
              </w:rPr>
            </w:pPr>
            <w:r>
              <w:rPr>
                <w:sz w:val="17"/>
              </w:rPr>
            </w:r>
          </w:p>
        </w:tc>
      </w:tr>
    </w:tbl>
    <w:p>
      <w:pPr>
        <w:sectPr>
          <w:footerReference w:type="even" r:id="rId29"/>
          <w:footerReference w:type="default" r:id="rId30"/>
          <w:footerReference w:type="first" r:id="rId31"/>
          <w:type w:val="nextPage"/>
          <w:pgSz w:orient="landscape" w:w="15600" w:h="11630"/>
          <w:pgMar w:left="0" w:right="880" w:gutter="0" w:header="0" w:top="0" w:footer="708" w:bottom="765"/>
          <w:pgNumType w:fmt="decimal"/>
          <w:formProt w:val="false"/>
          <w:textDirection w:val="lrTb"/>
          <w:docGrid w:type="default" w:linePitch="100" w:charSpace="0"/>
        </w:sectPr>
      </w:pPr>
    </w:p>
    <w:tbl>
      <w:tblPr>
        <w:tblStyle w:val="TableNormal"/>
        <w:tblW w:w="13749" w:type="dxa"/>
        <w:jc w:val="left"/>
        <w:tblInd w:w="110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 w:firstRow="1" w:noVBand="0" w:lastRow="1" w:firstColumn="1" w:lastColumn="1" w:noHBand="0"/>
      </w:tblPr>
      <w:tblGrid>
        <w:gridCol w:w="624"/>
        <w:gridCol w:w="1933"/>
        <w:gridCol w:w="2116"/>
        <w:gridCol w:w="2267"/>
        <w:gridCol w:w="2269"/>
        <w:gridCol w:w="2268"/>
        <w:gridCol w:w="2272"/>
      </w:tblGrid>
      <w:tr>
        <w:trPr>
          <w:trHeight w:val="400" w:hRule="atLeast"/>
        </w:trPr>
        <w:tc>
          <w:tcPr>
            <w:tcW w:w="624" w:type="dxa"/>
            <w:vMerge w:val="restart"/>
            <w:tcBorders>
              <w:top w:val="single" w:sz="4" w:space="0" w:color="BCBEC0"/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pacing w:before="5" w:after="0"/>
              <w:ind w:hanging="0" w:left="0"/>
              <w:contextualSpacing/>
              <w:jc w:val="left"/>
              <w:rPr>
                <w:rFonts w:ascii="Humanst521EU" w:hAnsi="Humanst521EU"/>
                <w:b/>
                <w:sz w:val="24"/>
              </w:rPr>
            </w:pPr>
            <w:r>
              <w:rPr>
                <w:rFonts w:ascii="Humanst521EU" w:hAnsi="Humanst521EU"/>
                <w:b/>
                <w:sz w:val="24"/>
              </w:rPr>
            </w:r>
          </w:p>
          <w:p>
            <w:pPr>
              <w:pStyle w:val="TableParagraph"/>
              <w:widowControl w:val="false"/>
              <w:spacing w:before="0" w:after="0"/>
              <w:ind w:hanging="0" w:left="109"/>
              <w:contextualSpacing/>
              <w:jc w:val="left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Dział</w:t>
            </w:r>
          </w:p>
        </w:tc>
        <w:tc>
          <w:tcPr>
            <w:tcW w:w="1933" w:type="dxa"/>
            <w:vMerge w:val="restart"/>
            <w:tcBorders>
              <w:top w:val="single" w:sz="4" w:space="0" w:color="BCBEC0"/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pacing w:before="5" w:after="0"/>
              <w:ind w:hanging="0" w:left="0"/>
              <w:contextualSpacing/>
              <w:jc w:val="left"/>
              <w:rPr>
                <w:rFonts w:ascii="Humanst521EU" w:hAnsi="Humanst521EU"/>
                <w:b/>
                <w:sz w:val="24"/>
              </w:rPr>
            </w:pPr>
            <w:r>
              <w:rPr>
                <w:rFonts w:ascii="Humanst521EU" w:hAnsi="Humanst521EU"/>
                <w:b/>
                <w:sz w:val="24"/>
              </w:rPr>
            </w:r>
          </w:p>
          <w:p>
            <w:pPr>
              <w:pStyle w:val="TableParagraph"/>
              <w:widowControl w:val="false"/>
              <w:spacing w:before="0" w:after="0"/>
              <w:ind w:hanging="0" w:left="613" w:right="613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Temat</w:t>
            </w:r>
          </w:p>
        </w:tc>
        <w:tc>
          <w:tcPr>
            <w:tcW w:w="11192" w:type="dxa"/>
            <w:gridSpan w:val="5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pacing w:before="92" w:after="0"/>
              <w:ind w:hanging="0" w:left="4975" w:right="4975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Poziom wymagań</w:t>
            </w:r>
          </w:p>
        </w:tc>
      </w:tr>
      <w:tr>
        <w:trPr>
          <w:trHeight w:val="380" w:hRule="atLeast"/>
        </w:trPr>
        <w:tc>
          <w:tcPr>
            <w:tcW w:w="624" w:type="dxa"/>
            <w:vMerge w:val="continue"/>
            <w:tcBorders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contextualSpacing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933" w:type="dxa"/>
            <w:vMerge w:val="continue"/>
            <w:tcBorders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contextualSpacing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116" w:type="dxa"/>
            <w:tcBorders>
              <w:top w:val="single" w:sz="4" w:space="0" w:color="BCBEC0"/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pacing w:before="87" w:after="0"/>
              <w:ind w:hanging="0" w:left="334"/>
              <w:contextualSpacing/>
              <w:jc w:val="left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ocena dopuszczająca</w:t>
            </w:r>
          </w:p>
        </w:tc>
        <w:tc>
          <w:tcPr>
            <w:tcW w:w="2267" w:type="dxa"/>
            <w:tcBorders>
              <w:top w:val="single" w:sz="4" w:space="0" w:color="BCBEC0"/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pacing w:before="87" w:after="0"/>
              <w:ind w:hanging="0" w:left="418"/>
              <w:contextualSpacing/>
              <w:jc w:val="left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ocena dostateczna</w:t>
            </w:r>
          </w:p>
        </w:tc>
        <w:tc>
          <w:tcPr>
            <w:tcW w:w="2269" w:type="dxa"/>
            <w:tcBorders>
              <w:top w:val="single" w:sz="4" w:space="0" w:color="BCBEC0"/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pacing w:before="87" w:after="0"/>
              <w:ind w:hanging="0" w:left="656"/>
              <w:contextualSpacing/>
              <w:jc w:val="left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ocena dobra</w:t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pacing w:before="87" w:after="0"/>
              <w:ind w:hanging="0" w:left="365"/>
              <w:contextualSpacing/>
              <w:jc w:val="left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ocena bardzo dobra</w:t>
            </w:r>
          </w:p>
        </w:tc>
        <w:tc>
          <w:tcPr>
            <w:tcW w:w="2272" w:type="dxa"/>
            <w:tcBorders>
              <w:top w:val="single" w:sz="4" w:space="0" w:color="BCBEC0"/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pacing w:before="87" w:after="0"/>
              <w:ind w:hanging="0" w:left="576"/>
              <w:contextualSpacing/>
              <w:jc w:val="left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ocena celująca</w:t>
            </w:r>
          </w:p>
        </w:tc>
      </w:tr>
      <w:tr>
        <w:trPr>
          <w:trHeight w:val="2080" w:hRule="atLeast"/>
        </w:trPr>
        <w:tc>
          <w:tcPr>
            <w:tcW w:w="624" w:type="dxa"/>
            <w:vMerge w:val="restart"/>
            <w:tcBorders>
              <w:top w:val="single" w:sz="8" w:space="0" w:color="FDB515"/>
              <w:left w:val="single" w:sz="6" w:space="0" w:color="BCBEC0"/>
              <w:bottom w:val="single" w:sz="4" w:space="0" w:color="BCBEC0"/>
              <w:right w:val="single" w:sz="6" w:space="0" w:color="BCBEC0"/>
            </w:tcBorders>
            <w:shd w:color="auto" w:fill="auto" w:val="clear"/>
            <w:textDirection w:val="btLr"/>
          </w:tcPr>
          <w:p>
            <w:pPr>
              <w:pStyle w:val="TableParagraph"/>
              <w:widowControl w:val="false"/>
              <w:spacing w:before="9" w:after="0"/>
              <w:ind w:hanging="0" w:left="0"/>
              <w:contextualSpacing/>
              <w:jc w:val="left"/>
              <w:rPr>
                <w:rFonts w:ascii="Humanst521EU" w:hAnsi="Humanst521EU"/>
                <w:b/>
                <w:sz w:val="15"/>
              </w:rPr>
            </w:pPr>
            <w:r>
              <w:rPr>
                <w:rFonts w:ascii="Humanst521EU" w:hAnsi="Humanst521EU"/>
                <w:b/>
                <w:sz w:val="15"/>
              </w:rPr>
            </w:r>
          </w:p>
          <w:p>
            <w:pPr>
              <w:pStyle w:val="TableParagraph"/>
              <w:widowControl w:val="false"/>
              <w:spacing w:before="1" w:after="0"/>
              <w:ind w:hanging="170" w:left="2547"/>
              <w:contextualSpacing/>
              <w:jc w:val="left"/>
              <w:rPr>
                <w:rFonts w:ascii="Humanst521EU" w:hAnsi="Humanst521EU"/>
                <w:b/>
                <w:sz w:val="15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VIII. Narządy zmysłów</w:t>
            </w:r>
          </w:p>
        </w:tc>
        <w:tc>
          <w:tcPr>
            <w:tcW w:w="1933" w:type="dxa"/>
            <w:tcBorders>
              <w:top w:val="single" w:sz="8" w:space="0" w:color="FDB515"/>
              <w:left w:val="single" w:sz="4" w:space="0" w:color="BCBEC0"/>
              <w:bottom w:val="single" w:sz="4" w:space="0" w:color="00000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pacing w:lineRule="auto" w:line="235" w:before="61" w:after="0"/>
              <w:ind w:hanging="258" w:left="309" w:right="438"/>
              <w:contextualSpacing/>
              <w:jc w:val="left"/>
              <w:rPr>
                <w:b/>
                <w:sz w:val="17"/>
              </w:rPr>
            </w:pPr>
            <w:r>
              <w:rPr>
                <w:b/>
                <w:kern w:val="0"/>
                <w:sz w:val="17"/>
                <w:szCs w:val="22"/>
                <w:lang w:eastAsia="en-US" w:bidi="ar-SA"/>
              </w:rPr>
              <w:t>32. Budowa i działanie narządu wzroku</w:t>
            </w:r>
          </w:p>
        </w:tc>
        <w:tc>
          <w:tcPr>
            <w:tcW w:w="2116" w:type="dxa"/>
            <w:tcBorders>
              <w:top w:val="single" w:sz="8" w:space="0" w:color="FDB515"/>
              <w:left w:val="single" w:sz="4" w:space="0" w:color="BCBEC0"/>
              <w:bottom w:val="single" w:sz="4" w:space="0" w:color="00000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161"/>
              </w:numPr>
              <w:tabs>
                <w:tab w:val="clear" w:pos="720"/>
                <w:tab w:val="left" w:pos="222" w:leader="none"/>
              </w:tabs>
              <w:spacing w:lineRule="auto" w:line="235" w:before="61" w:after="0"/>
              <w:ind w:hanging="170" w:left="221" w:right="134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wskazuje znaczenie zmysłów w życiu człowieka</w:t>
            </w:r>
          </w:p>
          <w:p>
            <w:pPr>
              <w:pStyle w:val="TableParagraph"/>
              <w:widowControl w:val="false"/>
              <w:numPr>
                <w:ilvl w:val="0"/>
                <w:numId w:val="161"/>
              </w:numPr>
              <w:tabs>
                <w:tab w:val="clear" w:pos="720"/>
                <w:tab w:val="left" w:pos="222" w:leader="none"/>
              </w:tabs>
              <w:spacing w:lineRule="auto" w:line="235" w:before="0" w:after="0"/>
              <w:ind w:hanging="170" w:left="221" w:right="346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rozróżnia w narządzie wzroku aparat ochronny oka i gałkę oczną</w:t>
            </w:r>
          </w:p>
          <w:p>
            <w:pPr>
              <w:pStyle w:val="TableParagraph"/>
              <w:widowControl w:val="false"/>
              <w:numPr>
                <w:ilvl w:val="0"/>
                <w:numId w:val="161"/>
              </w:numPr>
              <w:tabs>
                <w:tab w:val="clear" w:pos="720"/>
                <w:tab w:val="left" w:pos="222" w:leader="none"/>
              </w:tabs>
              <w:spacing w:lineRule="auto" w:line="235" w:before="61" w:after="0"/>
              <w:ind w:hanging="170" w:left="221" w:right="441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rozpoznaje na ilustracji elementy budowy oka</w:t>
            </w:r>
          </w:p>
        </w:tc>
        <w:tc>
          <w:tcPr>
            <w:tcW w:w="2267" w:type="dxa"/>
            <w:tcBorders>
              <w:top w:val="single" w:sz="8" w:space="0" w:color="FDB515"/>
              <w:left w:val="single" w:sz="4" w:space="0" w:color="BCBEC0"/>
              <w:bottom w:val="single" w:sz="4" w:space="0" w:color="00000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161"/>
              </w:numPr>
              <w:tabs>
                <w:tab w:val="clear" w:pos="720"/>
                <w:tab w:val="left" w:pos="222" w:leader="none"/>
              </w:tabs>
              <w:spacing w:lineRule="auto" w:line="235" w:before="61" w:after="0"/>
              <w:ind w:hanging="170" w:left="221" w:right="197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opisuje funkcje elementów aparatu ochronnego oka</w:t>
            </w:r>
          </w:p>
          <w:p>
            <w:pPr>
              <w:pStyle w:val="TableParagraph"/>
              <w:widowControl w:val="false"/>
              <w:numPr>
                <w:ilvl w:val="0"/>
                <w:numId w:val="161"/>
              </w:numPr>
              <w:tabs>
                <w:tab w:val="clear" w:pos="720"/>
                <w:tab w:val="left" w:pos="222" w:leader="none"/>
              </w:tabs>
              <w:spacing w:lineRule="auto" w:line="238" w:before="0" w:after="0"/>
              <w:ind w:hanging="170" w:left="221" w:right="105"/>
              <w:contextualSpacing/>
              <w:jc w:val="left"/>
              <w:rPr>
                <w:rFonts w:ascii="Humanst521EU" w:hAnsi="Humanst521EU"/>
                <w:i/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 xml:space="preserve">wyjaśnia pojęcie </w:t>
            </w:r>
            <w:r>
              <w:rPr>
                <w:rFonts w:ascii="Humanst521EU" w:hAnsi="Humanst521EU"/>
                <w:i/>
                <w:kern w:val="0"/>
                <w:sz w:val="17"/>
                <w:szCs w:val="22"/>
                <w:lang w:eastAsia="en-US" w:bidi="ar-SA"/>
              </w:rPr>
              <w:t>akomodacja oka</w:t>
            </w:r>
          </w:p>
          <w:p>
            <w:pPr>
              <w:pStyle w:val="TableParagraph"/>
              <w:widowControl w:val="false"/>
              <w:numPr>
                <w:ilvl w:val="0"/>
                <w:numId w:val="161"/>
              </w:numPr>
              <w:tabs>
                <w:tab w:val="clear" w:pos="720"/>
                <w:tab w:val="left" w:pos="222" w:leader="none"/>
              </w:tabs>
              <w:spacing w:lineRule="auto" w:line="235" w:before="61" w:after="0"/>
              <w:ind w:hanging="170" w:left="221" w:right="604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omawia funkcje elementów budowy oka</w:t>
            </w:r>
          </w:p>
        </w:tc>
        <w:tc>
          <w:tcPr>
            <w:tcW w:w="2269" w:type="dxa"/>
            <w:tcBorders>
              <w:top w:val="single" w:sz="8" w:space="0" w:color="FDB515"/>
              <w:left w:val="single" w:sz="4" w:space="0" w:color="BCBEC0"/>
              <w:bottom w:val="single" w:sz="4" w:space="0" w:color="00000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161"/>
              </w:numPr>
              <w:tabs>
                <w:tab w:val="clear" w:pos="720"/>
                <w:tab w:val="left" w:pos="222" w:leader="none"/>
              </w:tabs>
              <w:spacing w:lineRule="auto" w:line="235" w:before="61" w:after="0"/>
              <w:ind w:hanging="170" w:left="221" w:right="452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określa funkcję aparatu ochronnego oka</w:t>
            </w:r>
          </w:p>
          <w:p>
            <w:pPr>
              <w:pStyle w:val="TableParagraph"/>
              <w:widowControl w:val="false"/>
              <w:numPr>
                <w:ilvl w:val="0"/>
                <w:numId w:val="161"/>
              </w:numPr>
              <w:tabs>
                <w:tab w:val="clear" w:pos="720"/>
                <w:tab w:val="left" w:pos="222" w:leader="none"/>
              </w:tabs>
              <w:spacing w:lineRule="auto" w:line="235" w:before="0" w:after="0"/>
              <w:ind w:hanging="170" w:left="221" w:right="51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wykazuje związek budowy elementów oka z pełnionymi przez nie funkcjami</w:t>
            </w:r>
          </w:p>
          <w:p>
            <w:pPr>
              <w:pStyle w:val="TableParagraph"/>
              <w:widowControl w:val="false"/>
              <w:numPr>
                <w:ilvl w:val="0"/>
                <w:numId w:val="161"/>
              </w:numPr>
              <w:tabs>
                <w:tab w:val="clear" w:pos="720"/>
                <w:tab w:val="left" w:pos="222" w:leader="none"/>
              </w:tabs>
              <w:spacing w:lineRule="auto" w:line="235" w:before="0" w:after="0"/>
              <w:ind w:hanging="170" w:left="221" w:right="245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wskazuje lokalizację receptorów wzroku</w:t>
            </w:r>
          </w:p>
          <w:p>
            <w:pPr>
              <w:pStyle w:val="TableParagraph"/>
              <w:widowControl w:val="false"/>
              <w:numPr>
                <w:ilvl w:val="0"/>
                <w:numId w:val="161"/>
              </w:numPr>
              <w:tabs>
                <w:tab w:val="clear" w:pos="720"/>
                <w:tab w:val="left" w:pos="222" w:leader="none"/>
              </w:tabs>
              <w:spacing w:lineRule="auto" w:line="235" w:before="0" w:after="0"/>
              <w:ind w:hanging="170" w:left="221" w:right="66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ilustruje w formie prostego rysunku drogę światła w oku</w:t>
            </w:r>
          </w:p>
        </w:tc>
        <w:tc>
          <w:tcPr>
            <w:tcW w:w="2268" w:type="dxa"/>
            <w:tcBorders>
              <w:top w:val="single" w:sz="8" w:space="0" w:color="FDB515"/>
              <w:left w:val="single" w:sz="4" w:space="0" w:color="BCBEC0"/>
              <w:bottom w:val="single" w:sz="4" w:space="0" w:color="00000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161"/>
              </w:numPr>
              <w:tabs>
                <w:tab w:val="clear" w:pos="720"/>
                <w:tab w:val="left" w:pos="222" w:leader="none"/>
              </w:tabs>
              <w:spacing w:lineRule="auto" w:line="235" w:before="61" w:after="0"/>
              <w:ind w:hanging="170" w:left="221" w:right="552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omawia powstawanie obrazu na siatkówce</w:t>
            </w:r>
          </w:p>
          <w:p>
            <w:pPr>
              <w:pStyle w:val="TableParagraph"/>
              <w:widowControl w:val="false"/>
              <w:numPr>
                <w:ilvl w:val="0"/>
                <w:numId w:val="161"/>
              </w:numPr>
              <w:tabs>
                <w:tab w:val="clear" w:pos="720"/>
                <w:tab w:val="left" w:pos="222" w:leader="none"/>
              </w:tabs>
              <w:spacing w:lineRule="auto" w:line="235" w:before="0" w:after="0"/>
              <w:ind w:hanging="170" w:left="221" w:right="140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planuje i przeprowadza doświadczenie wykazujące reakcję tęczówki na światło o różnym natężeniu</w:t>
            </w:r>
          </w:p>
          <w:p>
            <w:pPr>
              <w:pStyle w:val="TableParagraph"/>
              <w:widowControl w:val="false"/>
              <w:numPr>
                <w:ilvl w:val="0"/>
                <w:numId w:val="161"/>
              </w:numPr>
              <w:tabs>
                <w:tab w:val="clear" w:pos="720"/>
                <w:tab w:val="left" w:pos="222" w:leader="none"/>
              </w:tabs>
              <w:spacing w:lineRule="auto" w:line="235" w:before="0" w:after="0"/>
              <w:ind w:hanging="170" w:left="221" w:right="50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ilustruje za pomocą prostego rysunku drogę światła w oku i powstawanie obrazu na siatkówce oraz wyjaśnia rolę soczewki w tym procesie</w:t>
            </w:r>
          </w:p>
        </w:tc>
        <w:tc>
          <w:tcPr>
            <w:tcW w:w="2272" w:type="dxa"/>
            <w:tcBorders>
              <w:top w:val="single" w:sz="8" w:space="0" w:color="FDB515"/>
              <w:left w:val="single" w:sz="4" w:space="0" w:color="BCBEC0"/>
              <w:bottom w:val="single" w:sz="4" w:space="0" w:color="00000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161"/>
              </w:numPr>
              <w:tabs>
                <w:tab w:val="clear" w:pos="720"/>
                <w:tab w:val="left" w:pos="222" w:leader="none"/>
              </w:tabs>
              <w:spacing w:lineRule="auto" w:line="235" w:before="61" w:after="0"/>
              <w:ind w:hanging="170" w:left="221" w:right="202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przeprowadza doświadczenie wykazujące obecność tarczy nerwu wzrokowego w oku</w:t>
            </w:r>
          </w:p>
          <w:p>
            <w:pPr>
              <w:pStyle w:val="TableParagraph"/>
              <w:widowControl w:val="false"/>
              <w:numPr>
                <w:ilvl w:val="0"/>
                <w:numId w:val="161"/>
              </w:numPr>
              <w:tabs>
                <w:tab w:val="clear" w:pos="720"/>
                <w:tab w:val="left" w:pos="222" w:leader="none"/>
              </w:tabs>
              <w:spacing w:lineRule="auto" w:line="235" w:before="0" w:after="0"/>
              <w:ind w:hanging="170" w:left="221" w:right="50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ilustruje za pomocą prostego rysunku drogę światła w oku oraz tłumaczy powstawanie odbieranie wrażeń wzrokowych, używając odpowiedniej terminologii</w:t>
            </w:r>
            <w:bookmarkStart w:id="0" w:name="_GoBack"/>
            <w:bookmarkEnd w:id="0"/>
          </w:p>
        </w:tc>
      </w:tr>
      <w:tr>
        <w:trPr>
          <w:trHeight w:val="2080" w:hRule="atLeast"/>
        </w:trPr>
        <w:tc>
          <w:tcPr>
            <w:tcW w:w="624" w:type="dxa"/>
            <w:vMerge w:val="continue"/>
            <w:tcBorders>
              <w:top w:val="single" w:sz="4" w:space="0" w:color="BCBEC0"/>
              <w:left w:val="single" w:sz="6" w:space="0" w:color="BCBEC0"/>
              <w:bottom w:val="single" w:sz="4" w:space="0" w:color="BCBEC0"/>
              <w:right w:val="single" w:sz="6" w:space="0" w:color="BCBEC0"/>
            </w:tcBorders>
            <w:shd w:color="auto" w:fill="auto" w:val="clear"/>
            <w:textDirection w:val="btLr"/>
          </w:tcPr>
          <w:p>
            <w:pPr>
              <w:pStyle w:val="TableParagraph"/>
              <w:widowControl w:val="false"/>
              <w:spacing w:before="1" w:after="0"/>
              <w:ind w:hanging="0" w:left="2547"/>
              <w:contextualSpacing/>
              <w:jc w:val="left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sz w:val="17"/>
              </w:rPr>
            </w: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pacing w:lineRule="auto" w:line="235" w:before="61" w:after="0"/>
              <w:ind w:hanging="258" w:left="309" w:right="438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33</w:t>
            </w:r>
            <w:r>
              <w:rPr>
                <w:b/>
                <w:kern w:val="0"/>
                <w:sz w:val="17"/>
                <w:szCs w:val="22"/>
                <w:lang w:eastAsia="en-US" w:bidi="ar-SA"/>
              </w:rPr>
              <w:t>. Ucho – narząd słuchu i równowagi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161"/>
              </w:numPr>
              <w:tabs>
                <w:tab w:val="clear" w:pos="720"/>
                <w:tab w:val="left" w:pos="222" w:leader="none"/>
              </w:tabs>
              <w:spacing w:lineRule="auto" w:line="235" w:before="61" w:after="0"/>
              <w:ind w:hanging="170" w:left="221" w:right="441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rozpoznaje na ilustracji elementy budowy ucha</w:t>
            </w:r>
          </w:p>
          <w:p>
            <w:pPr>
              <w:pStyle w:val="TableParagraph"/>
              <w:widowControl w:val="false"/>
              <w:numPr>
                <w:ilvl w:val="0"/>
                <w:numId w:val="161"/>
              </w:numPr>
              <w:tabs>
                <w:tab w:val="clear" w:pos="720"/>
                <w:tab w:val="left" w:pos="222" w:leader="none"/>
              </w:tabs>
              <w:spacing w:lineRule="auto" w:line="235" w:before="0" w:after="0"/>
              <w:ind w:hanging="170" w:left="221" w:right="129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wyróżnia ucho zewnętrzne, środkowe i wewnętrzne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162"/>
              </w:numPr>
              <w:tabs>
                <w:tab w:val="clear" w:pos="720"/>
                <w:tab w:val="left" w:pos="222" w:leader="none"/>
              </w:tabs>
              <w:spacing w:lineRule="auto" w:line="235" w:before="61" w:after="0"/>
              <w:ind w:hanging="170" w:left="221" w:right="604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wskazuje na ilustracji położenie narządu równowagi</w:t>
            </w:r>
          </w:p>
          <w:p>
            <w:pPr>
              <w:pStyle w:val="TableParagraph"/>
              <w:widowControl w:val="false"/>
              <w:numPr>
                <w:ilvl w:val="0"/>
                <w:numId w:val="162"/>
              </w:numPr>
              <w:tabs>
                <w:tab w:val="clear" w:pos="720"/>
                <w:tab w:val="left" w:pos="222" w:leader="none"/>
              </w:tabs>
              <w:spacing w:lineRule="auto" w:line="235" w:before="0" w:after="0"/>
              <w:ind w:hanging="170" w:left="221" w:right="140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wymienia funkcje poszczególnych elementów ucha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163"/>
              </w:numPr>
              <w:tabs>
                <w:tab w:val="clear" w:pos="720"/>
                <w:tab w:val="left" w:pos="222" w:leader="none"/>
              </w:tabs>
              <w:spacing w:lineRule="auto" w:line="235" w:before="61" w:after="0"/>
              <w:ind w:hanging="170" w:left="221" w:right="140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charakteryzuje funkcje poszczególnych elementów ucha</w:t>
            </w:r>
          </w:p>
          <w:p>
            <w:pPr>
              <w:pStyle w:val="TableParagraph"/>
              <w:widowControl w:val="false"/>
              <w:numPr>
                <w:ilvl w:val="0"/>
                <w:numId w:val="163"/>
              </w:numPr>
              <w:tabs>
                <w:tab w:val="clear" w:pos="720"/>
                <w:tab w:val="left" w:pos="222" w:leader="none"/>
              </w:tabs>
              <w:spacing w:lineRule="auto" w:line="235" w:before="0" w:after="0"/>
              <w:ind w:hanging="170" w:left="221" w:right="111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omawia funkcje ucha zewnętrznego, środkowego i wewnętrznego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164"/>
              </w:numPr>
              <w:tabs>
                <w:tab w:val="clear" w:pos="720"/>
                <w:tab w:val="left" w:pos="222" w:leader="none"/>
              </w:tabs>
              <w:spacing w:lineRule="auto" w:line="235" w:before="61" w:after="0"/>
              <w:ind w:hanging="170" w:left="221" w:right="158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wyjaśnia mechanizm odbierania i rozpoznawania dźwięków</w:t>
            </w:r>
          </w:p>
          <w:p>
            <w:pPr>
              <w:pStyle w:val="TableParagraph"/>
              <w:widowControl w:val="false"/>
              <w:numPr>
                <w:ilvl w:val="0"/>
                <w:numId w:val="164"/>
              </w:numPr>
              <w:tabs>
                <w:tab w:val="clear" w:pos="720"/>
                <w:tab w:val="left" w:pos="222" w:leader="none"/>
                <w:tab w:val="left" w:pos="1446" w:leader="none"/>
              </w:tabs>
              <w:spacing w:lineRule="auto" w:line="235" w:before="0" w:after="0"/>
              <w:ind w:hanging="170" w:left="221" w:right="244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wskazuje lokalizację receptorów słuchu i równowagi w uchu</w:t>
            </w:r>
          </w:p>
          <w:p>
            <w:pPr>
              <w:pStyle w:val="TableParagraph"/>
              <w:widowControl w:val="false"/>
              <w:numPr>
                <w:ilvl w:val="0"/>
                <w:numId w:val="164"/>
              </w:numPr>
              <w:tabs>
                <w:tab w:val="clear" w:pos="720"/>
                <w:tab w:val="left" w:pos="222" w:leader="none"/>
              </w:tabs>
              <w:spacing w:lineRule="auto" w:line="235" w:before="3" w:after="0"/>
              <w:ind w:hanging="170" w:left="221" w:right="109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wyjaśnia zasadę działania narządu równowagi</w:t>
            </w: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165"/>
              </w:numPr>
              <w:tabs>
                <w:tab w:val="clear" w:pos="720"/>
                <w:tab w:val="left" w:pos="222" w:leader="none"/>
              </w:tabs>
              <w:spacing w:lineRule="auto" w:line="235" w:before="61" w:after="0"/>
              <w:ind w:hanging="170" w:left="221" w:right="182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analizuje przebieg bodźca słuchowego, uwzględniając przetwarzanie fal dźwiękowych na impulsy nerwowe</w:t>
            </w:r>
          </w:p>
        </w:tc>
      </w:tr>
      <w:tr>
        <w:trPr>
          <w:trHeight w:val="2000" w:hRule="atLeast"/>
        </w:trPr>
        <w:tc>
          <w:tcPr>
            <w:tcW w:w="624" w:type="dxa"/>
            <w:vMerge w:val="continue"/>
            <w:tcBorders>
              <w:top w:val="single" w:sz="4" w:space="0" w:color="BCBEC0"/>
              <w:left w:val="single" w:sz="6" w:space="0" w:color="BCBEC0"/>
              <w:bottom w:val="single" w:sz="4" w:space="0" w:color="BCBEC0"/>
              <w:right w:val="single" w:sz="6" w:space="0" w:color="BCBEC0"/>
            </w:tcBorders>
            <w:shd w:color="auto" w:fill="auto" w:val="clear"/>
            <w:textDirection w:val="btLr"/>
          </w:tcPr>
          <w:p>
            <w:pPr>
              <w:pStyle w:val="Normal"/>
              <w:widowControl w:val="false"/>
              <w:spacing w:before="0" w:after="0"/>
              <w:contextualSpacing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933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pacing w:before="57" w:after="0"/>
              <w:ind w:hanging="0" w:left="51"/>
              <w:contextualSpacing/>
              <w:jc w:val="left"/>
              <w:rPr>
                <w:b/>
                <w:sz w:val="17"/>
              </w:rPr>
            </w:pPr>
            <w:r>
              <w:rPr>
                <w:b/>
                <w:kern w:val="0"/>
                <w:sz w:val="17"/>
                <w:szCs w:val="22"/>
                <w:lang w:eastAsia="en-US" w:bidi="ar-SA"/>
              </w:rPr>
              <w:t>34. Higiena oka i ucha</w:t>
            </w:r>
          </w:p>
        </w:tc>
        <w:tc>
          <w:tcPr>
            <w:tcW w:w="2116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166"/>
              </w:numPr>
              <w:tabs>
                <w:tab w:val="clear" w:pos="720"/>
                <w:tab w:val="left" w:pos="222" w:leader="none"/>
              </w:tabs>
              <w:spacing w:lineRule="exact" w:line="206" w:before="57" w:after="0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wymienia wady wzroku</w:t>
            </w:r>
          </w:p>
          <w:p>
            <w:pPr>
              <w:pStyle w:val="TableParagraph"/>
              <w:widowControl w:val="false"/>
              <w:numPr>
                <w:ilvl w:val="0"/>
                <w:numId w:val="166"/>
              </w:numPr>
              <w:tabs>
                <w:tab w:val="clear" w:pos="720"/>
                <w:tab w:val="left" w:pos="222" w:leader="none"/>
              </w:tabs>
              <w:spacing w:lineRule="exact" w:line="204" w:before="0" w:after="0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omawia zasady higieny oczu</w:t>
            </w:r>
          </w:p>
          <w:p>
            <w:pPr>
              <w:pStyle w:val="TableParagraph"/>
              <w:widowControl w:val="false"/>
              <w:numPr>
                <w:ilvl w:val="0"/>
                <w:numId w:val="166"/>
              </w:numPr>
              <w:tabs>
                <w:tab w:val="clear" w:pos="720"/>
                <w:tab w:val="left" w:pos="222" w:leader="none"/>
              </w:tabs>
              <w:spacing w:lineRule="auto" w:line="235" w:before="2" w:after="0"/>
              <w:ind w:hanging="170" w:left="221" w:right="403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wymienia choroby oczu i uszu</w:t>
            </w:r>
          </w:p>
        </w:tc>
        <w:tc>
          <w:tcPr>
            <w:tcW w:w="226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167"/>
              </w:numPr>
              <w:tabs>
                <w:tab w:val="clear" w:pos="720"/>
                <w:tab w:val="left" w:pos="222" w:leader="none"/>
                <w:tab w:val="left" w:pos="1743" w:leader="none"/>
              </w:tabs>
              <w:spacing w:lineRule="auto" w:line="235" w:before="61" w:after="0"/>
              <w:ind w:hanging="170" w:left="221" w:right="469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rozpoznaje na ilustracji krótkowzroczność i dalekowzroczność</w:t>
            </w:r>
          </w:p>
          <w:p>
            <w:pPr>
              <w:pStyle w:val="TableParagraph"/>
              <w:widowControl w:val="false"/>
              <w:numPr>
                <w:ilvl w:val="0"/>
                <w:numId w:val="167"/>
              </w:numPr>
              <w:tabs>
                <w:tab w:val="clear" w:pos="720"/>
                <w:tab w:val="left" w:pos="222" w:leader="none"/>
              </w:tabs>
              <w:spacing w:lineRule="auto" w:line="235" w:before="0" w:after="0"/>
              <w:ind w:hanging="170" w:left="221" w:right="243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omawia przyczyny powstawania wad wzroku</w:t>
            </w:r>
          </w:p>
        </w:tc>
        <w:tc>
          <w:tcPr>
            <w:tcW w:w="2269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168"/>
              </w:numPr>
              <w:tabs>
                <w:tab w:val="clear" w:pos="720"/>
                <w:tab w:val="left" w:pos="221" w:leader="none"/>
              </w:tabs>
              <w:spacing w:lineRule="exact" w:line="206" w:before="57" w:after="0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charakteryzuje wady wzroku</w:t>
            </w:r>
          </w:p>
          <w:p>
            <w:pPr>
              <w:pStyle w:val="TableParagraph"/>
              <w:widowControl w:val="false"/>
              <w:numPr>
                <w:ilvl w:val="0"/>
                <w:numId w:val="168"/>
              </w:numPr>
              <w:tabs>
                <w:tab w:val="clear" w:pos="720"/>
                <w:tab w:val="left" w:pos="221" w:leader="none"/>
              </w:tabs>
              <w:spacing w:lineRule="auto" w:line="235" w:before="2" w:after="0"/>
              <w:ind w:hanging="170" w:left="220" w:right="53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omawia sposób korygowania wad wzroku</w:t>
            </w:r>
          </w:p>
          <w:p>
            <w:pPr>
              <w:pStyle w:val="TableParagraph"/>
              <w:widowControl w:val="false"/>
              <w:numPr>
                <w:ilvl w:val="0"/>
                <w:numId w:val="167"/>
              </w:numPr>
              <w:tabs>
                <w:tab w:val="clear" w:pos="720"/>
                <w:tab w:val="left" w:pos="222" w:leader="none"/>
              </w:tabs>
              <w:spacing w:lineRule="auto" w:line="235" w:before="2" w:after="0"/>
              <w:ind w:hanging="170" w:left="221" w:right="196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definiuje hałas jako czynnik powodujący głuchotę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221" w:leader="none"/>
              </w:tabs>
              <w:spacing w:lineRule="auto" w:line="235" w:before="2" w:after="0"/>
              <w:ind w:hanging="0" w:left="220" w:right="53"/>
              <w:contextualSpacing/>
              <w:jc w:val="left"/>
              <w:rPr>
                <w:sz w:val="17"/>
              </w:rPr>
            </w:pPr>
            <w:r>
              <w:rPr>
                <w:sz w:val="17"/>
              </w:rPr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169"/>
              </w:numPr>
              <w:tabs>
                <w:tab w:val="clear" w:pos="720"/>
                <w:tab w:val="left" w:pos="221" w:leader="none"/>
              </w:tabs>
              <w:spacing w:lineRule="auto" w:line="235" w:before="61" w:after="0"/>
              <w:ind w:hanging="170" w:left="220" w:right="105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rozróżnia rodzaje soczewek korygujących wady wzroku</w:t>
            </w:r>
          </w:p>
          <w:p>
            <w:pPr>
              <w:pStyle w:val="TableParagraph"/>
              <w:widowControl w:val="false"/>
              <w:numPr>
                <w:ilvl w:val="0"/>
                <w:numId w:val="169"/>
              </w:numPr>
              <w:tabs>
                <w:tab w:val="clear" w:pos="720"/>
                <w:tab w:val="left" w:pos="221" w:leader="none"/>
              </w:tabs>
              <w:spacing w:lineRule="auto" w:line="235" w:before="0" w:after="0"/>
              <w:ind w:hanging="170" w:left="220" w:right="230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analizuje, w jaki sposób nadmierny hałas może spowodować uszkodzenie słuchu</w:t>
            </w:r>
          </w:p>
        </w:tc>
        <w:tc>
          <w:tcPr>
            <w:tcW w:w="2272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37"/>
              </w:numPr>
              <w:tabs>
                <w:tab w:val="clear" w:pos="720"/>
                <w:tab w:val="left" w:pos="221" w:leader="none"/>
              </w:tabs>
              <w:spacing w:lineRule="auto" w:line="235" w:before="0" w:after="0"/>
              <w:ind w:hanging="170" w:left="220" w:right="368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analizuje źródła hałasu w najbliższym otoczeniu i wskazuje na sposoby jego ograniczenia</w:t>
            </w:r>
          </w:p>
        </w:tc>
      </w:tr>
      <w:tr>
        <w:trPr>
          <w:trHeight w:val="1832" w:hRule="atLeast"/>
        </w:trPr>
        <w:tc>
          <w:tcPr>
            <w:tcW w:w="624" w:type="dxa"/>
            <w:vMerge w:val="continue"/>
            <w:tcBorders>
              <w:top w:val="single" w:sz="4" w:space="0" w:color="BCBEC0"/>
              <w:left w:val="single" w:sz="6" w:space="0" w:color="BCBEC0"/>
              <w:bottom w:val="single" w:sz="4" w:space="0" w:color="BCBEC0"/>
              <w:right w:val="single" w:sz="6" w:space="0" w:color="BCBEC0"/>
            </w:tcBorders>
            <w:shd w:color="auto" w:fill="auto" w:val="clear"/>
            <w:textDirection w:val="btLr"/>
          </w:tcPr>
          <w:p>
            <w:pPr>
              <w:pStyle w:val="Normal"/>
              <w:widowControl w:val="false"/>
              <w:spacing w:before="0" w:after="0"/>
              <w:contextualSpacing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933" w:type="dxa"/>
            <w:tcBorders>
              <w:top w:val="single" w:sz="4" w:space="0" w:color="BCBEC0"/>
              <w:left w:val="single" w:sz="6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pacing w:lineRule="auto" w:line="235" w:before="61" w:after="0"/>
              <w:ind w:hanging="258" w:left="305" w:right="64"/>
              <w:contextualSpacing/>
              <w:jc w:val="left"/>
              <w:rPr>
                <w:b/>
                <w:sz w:val="17"/>
              </w:rPr>
            </w:pPr>
            <w:r>
              <w:rPr>
                <w:b/>
                <w:kern w:val="0"/>
                <w:sz w:val="17"/>
                <w:szCs w:val="22"/>
                <w:lang w:eastAsia="en-US" w:bidi="ar-SA"/>
              </w:rPr>
              <w:t>35. Zmysły powonienia, smaku i dotyku</w:t>
            </w:r>
          </w:p>
        </w:tc>
        <w:tc>
          <w:tcPr>
            <w:tcW w:w="2116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36"/>
              </w:numPr>
              <w:tabs>
                <w:tab w:val="clear" w:pos="720"/>
                <w:tab w:val="left" w:pos="221" w:leader="none"/>
              </w:tabs>
              <w:spacing w:lineRule="auto" w:line="235" w:before="0" w:after="0"/>
              <w:ind w:hanging="170" w:left="220" w:right="307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wskazuje rozmieszczenie receptorów powonienia, smaku i dotyku</w:t>
            </w:r>
          </w:p>
          <w:p>
            <w:pPr>
              <w:pStyle w:val="TableParagraph"/>
              <w:widowControl w:val="false"/>
              <w:numPr>
                <w:ilvl w:val="0"/>
                <w:numId w:val="36"/>
              </w:numPr>
              <w:tabs>
                <w:tab w:val="clear" w:pos="720"/>
                <w:tab w:val="left" w:pos="221" w:leader="none"/>
              </w:tabs>
              <w:spacing w:lineRule="auto" w:line="235" w:before="0" w:after="0"/>
              <w:ind w:hanging="170" w:left="220" w:right="454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wymienia podstawowe smaki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221" w:leader="none"/>
              </w:tabs>
              <w:spacing w:lineRule="auto" w:line="235" w:before="0" w:after="0"/>
              <w:ind w:hanging="0" w:left="220" w:right="618"/>
              <w:contextualSpacing/>
              <w:jc w:val="left"/>
              <w:rPr>
                <w:sz w:val="17"/>
              </w:rPr>
            </w:pPr>
            <w:r>
              <w:rPr>
                <w:sz w:val="17"/>
              </w:rPr>
            </w:r>
          </w:p>
        </w:tc>
        <w:tc>
          <w:tcPr>
            <w:tcW w:w="226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35"/>
              </w:numPr>
              <w:tabs>
                <w:tab w:val="clear" w:pos="720"/>
                <w:tab w:val="left" w:pos="221" w:leader="none"/>
              </w:tabs>
              <w:spacing w:lineRule="auto" w:line="235" w:before="61" w:after="0"/>
              <w:ind w:hanging="170" w:left="220" w:right="233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wymienia rodzaje kubków smakowych</w:t>
            </w:r>
          </w:p>
          <w:p>
            <w:pPr>
              <w:pStyle w:val="TableParagraph"/>
              <w:widowControl w:val="false"/>
              <w:numPr>
                <w:ilvl w:val="0"/>
                <w:numId w:val="35"/>
              </w:numPr>
              <w:tabs>
                <w:tab w:val="clear" w:pos="720"/>
                <w:tab w:val="left" w:pos="221" w:leader="none"/>
              </w:tabs>
              <w:spacing w:lineRule="auto" w:line="235" w:before="0" w:after="0"/>
              <w:ind w:hanging="170" w:left="220" w:right="252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wskazuje miejsce występowania komórek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221" w:leader="none"/>
              </w:tabs>
              <w:spacing w:lineRule="auto" w:line="235" w:before="0" w:after="0"/>
              <w:ind w:hanging="0" w:left="220" w:right="252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węchowych</w:t>
            </w:r>
          </w:p>
          <w:p>
            <w:pPr>
              <w:pStyle w:val="TableParagraph"/>
              <w:widowControl w:val="false"/>
              <w:numPr>
                <w:ilvl w:val="0"/>
                <w:numId w:val="36"/>
              </w:numPr>
              <w:tabs>
                <w:tab w:val="clear" w:pos="720"/>
                <w:tab w:val="left" w:pos="221" w:leader="none"/>
              </w:tabs>
              <w:spacing w:lineRule="auto" w:line="235" w:before="0" w:after="0"/>
              <w:ind w:hanging="170" w:left="220" w:right="108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wymienia bodźce odbierane przez receptory skóry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221" w:leader="none"/>
              </w:tabs>
              <w:spacing w:lineRule="auto" w:line="235" w:before="0" w:after="0"/>
              <w:ind w:hanging="0" w:left="220" w:right="252"/>
              <w:contextualSpacing/>
              <w:jc w:val="left"/>
              <w:rPr>
                <w:sz w:val="17"/>
              </w:rPr>
            </w:pPr>
            <w:r>
              <w:rPr>
                <w:sz w:val="17"/>
              </w:rPr>
            </w:r>
          </w:p>
        </w:tc>
        <w:tc>
          <w:tcPr>
            <w:tcW w:w="2269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36"/>
              </w:numPr>
              <w:tabs>
                <w:tab w:val="clear" w:pos="720"/>
                <w:tab w:val="left" w:pos="221" w:leader="none"/>
              </w:tabs>
              <w:spacing w:lineRule="auto" w:line="235" w:before="61" w:after="0"/>
              <w:ind w:hanging="170" w:left="220" w:right="117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przedstawia rolę zmysłów powonienia, smaku i dotyku</w:t>
            </w:r>
          </w:p>
          <w:p>
            <w:pPr>
              <w:pStyle w:val="TableParagraph"/>
              <w:widowControl w:val="false"/>
              <w:numPr>
                <w:ilvl w:val="0"/>
                <w:numId w:val="34"/>
              </w:numPr>
              <w:tabs>
                <w:tab w:val="clear" w:pos="720"/>
                <w:tab w:val="left" w:pos="221" w:leader="none"/>
              </w:tabs>
              <w:spacing w:lineRule="auto" w:line="235" w:before="0" w:after="0"/>
              <w:ind w:hanging="170" w:left="220" w:right="299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omawia rolę węchu w ocenie pokarmów</w:t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33"/>
              </w:numPr>
              <w:tabs>
                <w:tab w:val="clear" w:pos="720"/>
                <w:tab w:val="left" w:pos="221" w:leader="none"/>
              </w:tabs>
              <w:spacing w:lineRule="auto" w:line="235" w:before="61" w:after="0"/>
              <w:ind w:hanging="170" w:left="220" w:right="440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uzasadnia, że skóra jest narządem dotyku</w:t>
            </w:r>
          </w:p>
          <w:p>
            <w:pPr>
              <w:pStyle w:val="TableParagraph"/>
              <w:widowControl w:val="false"/>
              <w:numPr>
                <w:ilvl w:val="0"/>
                <w:numId w:val="33"/>
              </w:numPr>
              <w:tabs>
                <w:tab w:val="clear" w:pos="720"/>
                <w:tab w:val="left" w:pos="221" w:leader="none"/>
              </w:tabs>
              <w:spacing w:lineRule="auto" w:line="235" w:before="0" w:after="0"/>
              <w:ind w:hanging="170" w:left="220" w:right="122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analizuje znaczenie wolnych zakończeń nerwowychw skórze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221" w:leader="none"/>
              </w:tabs>
              <w:spacing w:lineRule="auto" w:line="235" w:before="3" w:after="0"/>
              <w:ind w:hanging="0" w:left="220" w:right="253"/>
              <w:contextualSpacing/>
              <w:jc w:val="left"/>
              <w:rPr>
                <w:sz w:val="17"/>
              </w:rPr>
            </w:pPr>
            <w:r>
              <w:rPr>
                <w:sz w:val="17"/>
              </w:rPr>
            </w:r>
          </w:p>
        </w:tc>
        <w:tc>
          <w:tcPr>
            <w:tcW w:w="2272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32"/>
              </w:numPr>
              <w:tabs>
                <w:tab w:val="clear" w:pos="720"/>
                <w:tab w:val="left" w:pos="221" w:leader="none"/>
              </w:tabs>
              <w:spacing w:lineRule="auto" w:line="235" w:before="61" w:after="0"/>
              <w:ind w:hanging="170" w:left="220" w:right="299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wskazuje na przykładach współzależności smaku i węchu</w:t>
            </w:r>
          </w:p>
        </w:tc>
      </w:tr>
      <w:tr>
        <w:trPr>
          <w:trHeight w:val="2200" w:hRule="atLeast"/>
        </w:trPr>
        <w:tc>
          <w:tcPr>
            <w:tcW w:w="624" w:type="dxa"/>
            <w:vMerge w:val="restart"/>
            <w:tcBorders>
              <w:top w:val="single" w:sz="4" w:space="0" w:color="BCBEC0"/>
              <w:left w:val="single" w:sz="6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  <w:textDirection w:val="btLr"/>
          </w:tcPr>
          <w:p>
            <w:pPr>
              <w:pStyle w:val="TableParagraph"/>
              <w:widowControl w:val="false"/>
              <w:spacing w:lineRule="auto" w:line="235" w:before="96" w:after="0"/>
              <w:ind w:hanging="576" w:left="728" w:right="188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 xml:space="preserve">IX. </w:t>
            </w:r>
            <w:r>
              <w:rPr>
                <w:rFonts w:ascii="Humanst521EU" w:hAnsi="Humanst521EU"/>
                <w:b/>
                <w:spacing w:val="-3"/>
                <w:kern w:val="0"/>
                <w:sz w:val="17"/>
                <w:szCs w:val="22"/>
                <w:lang w:eastAsia="en-US" w:bidi="ar-SA"/>
              </w:rPr>
              <w:t>R</w:t>
            </w: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ozmnażanie i rozwój człowieka</w:t>
            </w:r>
          </w:p>
        </w:tc>
        <w:tc>
          <w:tcPr>
            <w:tcW w:w="1933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pacing w:lineRule="auto" w:line="235" w:before="61" w:after="0"/>
              <w:ind w:hanging="258" w:left="309" w:right="252"/>
              <w:contextualSpacing/>
              <w:jc w:val="left"/>
              <w:rPr>
                <w:b/>
                <w:sz w:val="17"/>
              </w:rPr>
            </w:pPr>
            <w:r>
              <w:rPr>
                <w:b/>
                <w:kern w:val="0"/>
                <w:sz w:val="17"/>
                <w:szCs w:val="22"/>
                <w:lang w:eastAsia="en-US" w:bidi="ar-SA"/>
              </w:rPr>
              <w:t xml:space="preserve">36. Rozmnażanie </w:t>
              <w:br/>
              <w:t>i rozwój. Męski układ rozrodczy</w:t>
            </w:r>
          </w:p>
        </w:tc>
        <w:tc>
          <w:tcPr>
            <w:tcW w:w="2116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31"/>
              </w:numPr>
              <w:tabs>
                <w:tab w:val="clear" w:pos="720"/>
                <w:tab w:val="left" w:pos="222" w:leader="none"/>
              </w:tabs>
              <w:spacing w:lineRule="auto" w:line="235" w:before="61" w:after="0"/>
              <w:ind w:hanging="170" w:left="221" w:right="280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wymienia męskie narządy rozrodcze</w:t>
            </w:r>
          </w:p>
          <w:p>
            <w:pPr>
              <w:pStyle w:val="TableParagraph"/>
              <w:widowControl w:val="false"/>
              <w:numPr>
                <w:ilvl w:val="0"/>
                <w:numId w:val="31"/>
              </w:numPr>
              <w:tabs>
                <w:tab w:val="clear" w:pos="720"/>
                <w:tab w:val="left" w:pos="222" w:leader="none"/>
              </w:tabs>
              <w:spacing w:lineRule="auto" w:line="235" w:before="0" w:after="0"/>
              <w:ind w:hanging="170" w:left="221" w:right="78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wskazuje na ilustracji męskie narządy rozrodcze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222" w:leader="none"/>
              </w:tabs>
              <w:spacing w:lineRule="auto" w:line="235" w:before="0" w:after="0"/>
              <w:ind w:hanging="0" w:left="221" w:right="421"/>
              <w:contextualSpacing/>
              <w:jc w:val="left"/>
              <w:rPr>
                <w:sz w:val="17"/>
              </w:rPr>
            </w:pPr>
            <w:r>
              <w:rPr>
                <w:sz w:val="17"/>
              </w:rPr>
            </w:r>
          </w:p>
        </w:tc>
        <w:tc>
          <w:tcPr>
            <w:tcW w:w="226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30"/>
              </w:numPr>
              <w:tabs>
                <w:tab w:val="clear" w:pos="720"/>
                <w:tab w:val="left" w:pos="222" w:leader="none"/>
              </w:tabs>
              <w:spacing w:lineRule="auto" w:line="235" w:before="61" w:after="0"/>
              <w:ind w:hanging="170" w:left="221" w:right="300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omawia budowę plemnika i wykonuje jego schematyczny rysunek</w:t>
            </w:r>
          </w:p>
          <w:p>
            <w:pPr>
              <w:pStyle w:val="TableParagraph"/>
              <w:widowControl w:val="false"/>
              <w:numPr>
                <w:ilvl w:val="0"/>
                <w:numId w:val="30"/>
              </w:numPr>
              <w:tabs>
                <w:tab w:val="clear" w:pos="720"/>
                <w:tab w:val="left" w:pos="222" w:leader="none"/>
              </w:tabs>
              <w:spacing w:lineRule="auto" w:line="235" w:before="0" w:after="0"/>
              <w:ind w:hanging="170" w:left="221" w:right="54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omawia proces powstawania nasienia</w:t>
            </w:r>
          </w:p>
          <w:p>
            <w:pPr>
              <w:pStyle w:val="TableParagraph"/>
              <w:widowControl w:val="false"/>
              <w:numPr>
                <w:ilvl w:val="0"/>
                <w:numId w:val="30"/>
              </w:numPr>
              <w:tabs>
                <w:tab w:val="clear" w:pos="720"/>
                <w:tab w:val="left" w:pos="222" w:leader="none"/>
              </w:tabs>
              <w:spacing w:lineRule="auto" w:line="235" w:before="3" w:after="0"/>
              <w:ind w:hanging="170" w:left="221" w:right="157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wymienia funkcje męskiego układu rozrodczego</w:t>
            </w:r>
          </w:p>
        </w:tc>
        <w:tc>
          <w:tcPr>
            <w:tcW w:w="2269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30"/>
              </w:numPr>
              <w:tabs>
                <w:tab w:val="clear" w:pos="720"/>
                <w:tab w:val="left" w:pos="222" w:leader="none"/>
              </w:tabs>
              <w:spacing w:lineRule="auto" w:line="235" w:before="61" w:after="0"/>
              <w:ind w:hanging="170" w:left="221" w:right="251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charakteryzuje pierwszo-, drugo- i trzeciorzędowe męskie  cechy płciowe</w:t>
            </w:r>
          </w:p>
          <w:p>
            <w:pPr>
              <w:pStyle w:val="TableParagraph"/>
              <w:widowControl w:val="false"/>
              <w:numPr>
                <w:ilvl w:val="0"/>
                <w:numId w:val="29"/>
              </w:numPr>
              <w:tabs>
                <w:tab w:val="clear" w:pos="720"/>
                <w:tab w:val="left" w:pos="222" w:leader="none"/>
              </w:tabs>
              <w:spacing w:lineRule="auto" w:line="235" w:before="61" w:after="0"/>
              <w:ind w:hanging="170" w:left="221" w:right="140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opisuje funkcje poszczególnych elementów męskiego układu rozrodczego</w:t>
            </w:r>
          </w:p>
          <w:p>
            <w:pPr>
              <w:pStyle w:val="TableParagraph"/>
              <w:widowControl w:val="false"/>
              <w:numPr>
                <w:ilvl w:val="0"/>
                <w:numId w:val="29"/>
              </w:numPr>
              <w:tabs>
                <w:tab w:val="clear" w:pos="720"/>
                <w:tab w:val="left" w:pos="222" w:leader="none"/>
              </w:tabs>
              <w:spacing w:lineRule="auto" w:line="235" w:before="61" w:after="0"/>
              <w:ind w:hanging="170" w:left="221" w:right="140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określa funkcję testosteronu</w:t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28"/>
              </w:numPr>
              <w:tabs>
                <w:tab w:val="clear" w:pos="720"/>
                <w:tab w:val="left" w:pos="222" w:leader="none"/>
              </w:tabs>
              <w:spacing w:lineRule="auto" w:line="235" w:before="61" w:after="0"/>
              <w:ind w:hanging="170" w:left="221" w:right="475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uzasadnia, że główka plemnika jest właściwą gametą męską</w:t>
            </w:r>
          </w:p>
          <w:p>
            <w:pPr>
              <w:pStyle w:val="TableParagraph"/>
              <w:widowControl w:val="false"/>
              <w:numPr>
                <w:ilvl w:val="0"/>
                <w:numId w:val="28"/>
              </w:numPr>
              <w:tabs>
                <w:tab w:val="clear" w:pos="720"/>
                <w:tab w:val="left" w:pos="222" w:leader="none"/>
              </w:tabs>
              <w:spacing w:lineRule="auto" w:line="235" w:before="0" w:after="0"/>
              <w:ind w:hanging="170" w:left="221" w:right="162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wykazuje zależność między produkcją hormonów płciowych a zmianami zachodzącymi w ciele mężczyzny</w:t>
            </w:r>
          </w:p>
        </w:tc>
        <w:tc>
          <w:tcPr>
            <w:tcW w:w="2272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27"/>
              </w:numPr>
              <w:tabs>
                <w:tab w:val="clear" w:pos="720"/>
                <w:tab w:val="left" w:pos="222" w:leader="none"/>
              </w:tabs>
              <w:spacing w:lineRule="auto" w:line="235" w:before="61" w:after="0"/>
              <w:ind w:hanging="170" w:left="221" w:right="115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wyjaśnia wspólną funkcjonalność prącia jako narządu wydalania i narządu rozrodczego</w:t>
            </w:r>
          </w:p>
        </w:tc>
      </w:tr>
      <w:tr>
        <w:trPr>
          <w:trHeight w:val="2200" w:hRule="atLeast"/>
        </w:trPr>
        <w:tc>
          <w:tcPr>
            <w:tcW w:w="624" w:type="dxa"/>
            <w:vMerge w:val="continue"/>
            <w:tcBorders>
              <w:top w:val="single" w:sz="4" w:space="0" w:color="BCBEC0"/>
              <w:left w:val="single" w:sz="6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  <w:textDirection w:val="btLr"/>
          </w:tcPr>
          <w:p>
            <w:pPr>
              <w:pStyle w:val="TableParagraph"/>
              <w:widowControl w:val="false"/>
              <w:spacing w:lineRule="auto" w:line="235" w:before="96" w:after="0"/>
              <w:ind w:hanging="576" w:left="728" w:right="188"/>
              <w:contextualSpacing/>
              <w:jc w:val="left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sz w:val="17"/>
              </w:rPr>
            </w:r>
          </w:p>
        </w:tc>
        <w:tc>
          <w:tcPr>
            <w:tcW w:w="1933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pacing w:lineRule="auto" w:line="235" w:before="61" w:after="0"/>
              <w:ind w:hanging="258" w:left="309" w:right="252"/>
              <w:contextualSpacing/>
              <w:jc w:val="left"/>
              <w:rPr>
                <w:b/>
                <w:sz w:val="17"/>
              </w:rPr>
            </w:pPr>
            <w:r>
              <w:rPr>
                <w:b/>
                <w:kern w:val="0"/>
                <w:sz w:val="17"/>
                <w:szCs w:val="22"/>
                <w:lang w:eastAsia="en-US" w:bidi="ar-SA"/>
              </w:rPr>
              <w:t>37. Żeński układ rozrodczy</w:t>
            </w:r>
          </w:p>
        </w:tc>
        <w:tc>
          <w:tcPr>
            <w:tcW w:w="2116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31"/>
              </w:numPr>
              <w:tabs>
                <w:tab w:val="clear" w:pos="720"/>
                <w:tab w:val="left" w:pos="222" w:leader="none"/>
              </w:tabs>
              <w:spacing w:lineRule="auto" w:line="235" w:before="61" w:after="0"/>
              <w:ind w:hanging="170" w:left="221" w:right="256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wymienia żeńskie narządy rozrodcze</w:t>
            </w:r>
          </w:p>
          <w:p>
            <w:pPr>
              <w:pStyle w:val="TableParagraph"/>
              <w:widowControl w:val="false"/>
              <w:numPr>
                <w:ilvl w:val="0"/>
                <w:numId w:val="31"/>
              </w:numPr>
              <w:tabs>
                <w:tab w:val="clear" w:pos="720"/>
                <w:tab w:val="left" w:pos="222" w:leader="none"/>
              </w:tabs>
              <w:spacing w:lineRule="auto" w:line="235" w:before="0" w:after="0"/>
              <w:ind w:hanging="170" w:left="221" w:right="54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wskazuje na ilustracji żeńskie narządy rozrodcze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222" w:leader="none"/>
              </w:tabs>
              <w:spacing w:lineRule="auto" w:line="235" w:before="61" w:after="0"/>
              <w:ind w:hanging="0" w:left="221" w:right="280"/>
              <w:contextualSpacing/>
              <w:jc w:val="left"/>
              <w:rPr>
                <w:sz w:val="17"/>
              </w:rPr>
            </w:pPr>
            <w:r>
              <w:rPr>
                <w:sz w:val="17"/>
              </w:rPr>
            </w:r>
          </w:p>
        </w:tc>
        <w:tc>
          <w:tcPr>
            <w:tcW w:w="226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30"/>
              </w:numPr>
              <w:tabs>
                <w:tab w:val="clear" w:pos="720"/>
                <w:tab w:val="left" w:pos="222" w:leader="none"/>
              </w:tabs>
              <w:spacing w:lineRule="auto" w:line="235" w:before="61" w:after="0"/>
              <w:ind w:hanging="170" w:left="221" w:right="300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opisuje funkcje żeńskiego układu rozrodczego</w:t>
            </w:r>
          </w:p>
        </w:tc>
        <w:tc>
          <w:tcPr>
            <w:tcW w:w="2269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30"/>
              </w:numPr>
              <w:tabs>
                <w:tab w:val="clear" w:pos="720"/>
                <w:tab w:val="left" w:pos="222" w:leader="none"/>
              </w:tabs>
              <w:spacing w:lineRule="auto" w:line="235" w:before="61" w:after="0"/>
              <w:ind w:hanging="170" w:left="221" w:right="251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charakteryzuje pierwszo-, drugo- i trzeciorzędowe żeńskie cechy płciowe</w:t>
            </w:r>
          </w:p>
          <w:p>
            <w:pPr>
              <w:pStyle w:val="TableParagraph"/>
              <w:widowControl w:val="false"/>
              <w:numPr>
                <w:ilvl w:val="0"/>
                <w:numId w:val="30"/>
              </w:numPr>
              <w:tabs>
                <w:tab w:val="clear" w:pos="720"/>
                <w:tab w:val="left" w:pos="222" w:leader="none"/>
              </w:tabs>
              <w:spacing w:lineRule="auto" w:line="235" w:before="61" w:after="0"/>
              <w:ind w:hanging="170" w:left="221" w:right="140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opisuje funkcje wewnętrznych narządów rozrodczych</w:t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28"/>
              </w:numPr>
              <w:tabs>
                <w:tab w:val="clear" w:pos="720"/>
                <w:tab w:val="left" w:pos="222" w:leader="none"/>
              </w:tabs>
              <w:spacing w:lineRule="auto" w:line="235" w:before="61" w:after="0"/>
              <w:ind w:hanging="170" w:left="221" w:right="475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wykazuje związek budowy komórki jajowej z pełnioną przez nią funkcją</w:t>
            </w:r>
          </w:p>
        </w:tc>
        <w:tc>
          <w:tcPr>
            <w:tcW w:w="2272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28"/>
              </w:numPr>
              <w:tabs>
                <w:tab w:val="clear" w:pos="720"/>
                <w:tab w:val="left" w:pos="222" w:leader="none"/>
              </w:tabs>
              <w:spacing w:lineRule="auto" w:line="235" w:before="61" w:after="0"/>
              <w:ind w:hanging="170" w:left="221" w:right="440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analizuje podobieństwa i różnice w budowie</w:t>
            </w:r>
          </w:p>
          <w:p>
            <w:pPr>
              <w:pStyle w:val="TableParagraph"/>
              <w:widowControl w:val="false"/>
              <w:spacing w:lineRule="auto" w:line="235" w:before="0" w:after="0"/>
              <w:ind w:hanging="0" w:left="221" w:right="120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męskich i żeńskich układów narządów: rozrodczego  i wydalniczego</w:t>
            </w:r>
          </w:p>
        </w:tc>
      </w:tr>
      <w:tr>
        <w:trPr>
          <w:trHeight w:val="1733" w:hRule="atLeast"/>
        </w:trPr>
        <w:tc>
          <w:tcPr>
            <w:tcW w:w="624" w:type="dxa"/>
            <w:vMerge w:val="continue"/>
            <w:tcBorders>
              <w:top w:val="single" w:sz="4" w:space="0" w:color="BCBEC0"/>
              <w:left w:val="single" w:sz="6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  <w:textDirection w:val="btLr"/>
          </w:tcPr>
          <w:p>
            <w:pPr>
              <w:pStyle w:val="TableParagraph"/>
              <w:widowControl w:val="false"/>
              <w:spacing w:lineRule="auto" w:line="235" w:before="96" w:after="0"/>
              <w:ind w:hanging="576" w:left="728" w:right="188"/>
              <w:contextualSpacing/>
              <w:jc w:val="left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sz w:val="17"/>
              </w:rPr>
            </w:r>
          </w:p>
        </w:tc>
        <w:tc>
          <w:tcPr>
            <w:tcW w:w="1933" w:type="dxa"/>
            <w:tcBorders>
              <w:top w:val="single" w:sz="4" w:space="0" w:color="BCBEC0"/>
              <w:left w:val="single" w:sz="4" w:space="0" w:color="BCBEC0"/>
              <w:bottom w:val="single" w:sz="6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pacing w:lineRule="auto" w:line="235" w:before="61" w:after="0"/>
              <w:ind w:hanging="258" w:left="309" w:right="252"/>
              <w:contextualSpacing/>
              <w:jc w:val="left"/>
              <w:rPr>
                <w:sz w:val="17"/>
              </w:rPr>
            </w:pPr>
            <w:r>
              <w:rPr>
                <w:b/>
                <w:kern w:val="0"/>
                <w:sz w:val="17"/>
                <w:szCs w:val="22"/>
                <w:lang w:eastAsia="en-US" w:bidi="ar-SA"/>
              </w:rPr>
              <w:t>38</w:t>
            </w:r>
            <w:r>
              <w:rPr>
                <w:kern w:val="0"/>
                <w:sz w:val="17"/>
                <w:szCs w:val="22"/>
                <w:lang w:eastAsia="en-US" w:bidi="ar-SA"/>
              </w:rPr>
              <w:t xml:space="preserve">. </w:t>
            </w:r>
            <w:r>
              <w:rPr>
                <w:b/>
                <w:kern w:val="0"/>
                <w:sz w:val="17"/>
                <w:szCs w:val="22"/>
                <w:lang w:eastAsia="en-US" w:bidi="ar-SA"/>
              </w:rPr>
              <w:t>Funkcjonowanie żeńskiego układu rozrodczego</w:t>
            </w:r>
          </w:p>
        </w:tc>
        <w:tc>
          <w:tcPr>
            <w:tcW w:w="2116" w:type="dxa"/>
            <w:tcBorders>
              <w:top w:val="single" w:sz="4" w:space="0" w:color="BCBEC0"/>
              <w:left w:val="single" w:sz="4" w:space="0" w:color="BCBEC0"/>
              <w:bottom w:val="single" w:sz="6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31"/>
              </w:numPr>
              <w:tabs>
                <w:tab w:val="clear" w:pos="720"/>
                <w:tab w:val="left" w:pos="222" w:leader="none"/>
              </w:tabs>
              <w:spacing w:lineRule="auto" w:line="235" w:before="61" w:after="0"/>
              <w:ind w:hanging="170" w:left="221" w:right="164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wymienia żeńskie hormony płciowe</w:t>
            </w:r>
          </w:p>
          <w:p>
            <w:pPr>
              <w:pStyle w:val="TableParagraph"/>
              <w:widowControl w:val="false"/>
              <w:numPr>
                <w:ilvl w:val="0"/>
                <w:numId w:val="31"/>
              </w:numPr>
              <w:tabs>
                <w:tab w:val="clear" w:pos="720"/>
                <w:tab w:val="left" w:pos="222" w:leader="none"/>
              </w:tabs>
              <w:spacing w:lineRule="auto" w:line="235" w:before="61" w:after="0"/>
              <w:ind w:hanging="170" w:left="221" w:right="280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wymienia kolejne fazy cyklu miesiączkowego</w:t>
            </w:r>
          </w:p>
        </w:tc>
        <w:tc>
          <w:tcPr>
            <w:tcW w:w="2267" w:type="dxa"/>
            <w:tcBorders>
              <w:top w:val="single" w:sz="4" w:space="0" w:color="BCBEC0"/>
              <w:left w:val="single" w:sz="4" w:space="0" w:color="BCBEC0"/>
              <w:bottom w:val="single" w:sz="6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31"/>
              </w:numPr>
              <w:tabs>
                <w:tab w:val="clear" w:pos="720"/>
                <w:tab w:val="left" w:pos="222" w:leader="none"/>
              </w:tabs>
              <w:spacing w:lineRule="auto" w:line="235" w:before="61" w:after="0"/>
              <w:ind w:hanging="170" w:left="221" w:right="177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wskazuje w cyklu miesiączkowym dni płodne i niepłodne</w:t>
            </w:r>
          </w:p>
          <w:p>
            <w:pPr>
              <w:pStyle w:val="TableParagraph"/>
              <w:widowControl w:val="false"/>
              <w:numPr>
                <w:ilvl w:val="0"/>
                <w:numId w:val="31"/>
              </w:numPr>
              <w:tabs>
                <w:tab w:val="clear" w:pos="720"/>
                <w:tab w:val="left" w:pos="222" w:leader="none"/>
              </w:tabs>
              <w:spacing w:lineRule="auto" w:line="235" w:before="61" w:after="0"/>
              <w:ind w:hanging="170" w:left="221" w:right="300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definiuje jajnik jako miejsce powstawania komórki jajowej</w:t>
            </w:r>
          </w:p>
        </w:tc>
        <w:tc>
          <w:tcPr>
            <w:tcW w:w="2269" w:type="dxa"/>
            <w:tcBorders>
              <w:top w:val="single" w:sz="4" w:space="0" w:color="BCBEC0"/>
              <w:left w:val="single" w:sz="4" w:space="0" w:color="BCBEC0"/>
              <w:bottom w:val="single" w:sz="6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29"/>
              </w:numPr>
              <w:tabs>
                <w:tab w:val="clear" w:pos="720"/>
                <w:tab w:val="left" w:pos="222" w:leader="none"/>
              </w:tabs>
              <w:spacing w:lineRule="auto" w:line="235" w:before="61" w:after="0"/>
              <w:ind w:hanging="170" w:left="221" w:right="140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interpretuje ilustracje przebiegu cyklu miesiączkowego</w:t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6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29"/>
              </w:numPr>
              <w:tabs>
                <w:tab w:val="clear" w:pos="720"/>
                <w:tab w:val="left" w:pos="221" w:leader="none"/>
              </w:tabs>
              <w:spacing w:lineRule="auto" w:line="235" w:before="61" w:after="0"/>
              <w:ind w:hanging="170" w:left="221" w:right="105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omawia zmiany hormonalne i zmiany w macicy zachodzące w trakcie cyklu miesiączkowego</w:t>
            </w:r>
          </w:p>
          <w:p>
            <w:pPr>
              <w:pStyle w:val="TableParagraph"/>
              <w:widowControl w:val="false"/>
              <w:numPr>
                <w:ilvl w:val="0"/>
                <w:numId w:val="29"/>
              </w:numPr>
              <w:tabs>
                <w:tab w:val="clear" w:pos="720"/>
                <w:tab w:val="left" w:pos="222" w:leader="none"/>
              </w:tabs>
              <w:spacing w:lineRule="auto" w:line="235" w:before="61" w:after="0"/>
              <w:ind w:hanging="170" w:left="221" w:right="475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analizuje rolę ciałka żółtego</w:t>
            </w:r>
          </w:p>
        </w:tc>
        <w:tc>
          <w:tcPr>
            <w:tcW w:w="2272" w:type="dxa"/>
            <w:tcBorders>
              <w:top w:val="single" w:sz="4" w:space="0" w:color="BCBEC0"/>
              <w:left w:val="single" w:sz="4" w:space="0" w:color="BCBEC0"/>
              <w:bottom w:val="single" w:sz="6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29"/>
              </w:numPr>
              <w:tabs>
                <w:tab w:val="clear" w:pos="720"/>
                <w:tab w:val="left" w:pos="221" w:leader="none"/>
              </w:tabs>
              <w:spacing w:lineRule="auto" w:line="235" w:before="61" w:after="0"/>
              <w:ind w:hanging="170" w:left="221" w:right="606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wyznacza dni płodne i niepłodne u kobiet w różnych dniach cyklu miesiączkowego z  różną długością cyklu</w:t>
            </w:r>
          </w:p>
        </w:tc>
      </w:tr>
    </w:tbl>
    <w:p>
      <w:pPr>
        <w:sectPr>
          <w:footerReference w:type="even" r:id="rId32"/>
          <w:footerReference w:type="default" r:id="rId33"/>
          <w:footerReference w:type="first" r:id="rId34"/>
          <w:type w:val="nextPage"/>
          <w:pgSz w:orient="landscape" w:w="15600" w:h="11630"/>
          <w:pgMar w:left="740" w:right="880" w:gutter="0" w:header="0" w:top="840" w:footer="708" w:bottom="765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BodyText"/>
        <w:spacing w:before="0" w:after="0"/>
        <w:ind w:left="963"/>
        <w:contextualSpacing/>
        <w:rPr>
          <w:rFonts w:ascii="Humanst521EU" w:hAnsi="Humanst521EU"/>
          <w:i w:val="false"/>
          <w:sz w:val="20"/>
        </w:rPr>
      </w:pPr>
      <w:r>
        <w:rPr>
          <w:rFonts w:ascii="Humanst521EU" w:hAnsi="Humanst521EU"/>
          <w:i w:val="false"/>
          <w:sz w:val="20"/>
        </w:rPr>
      </w:r>
    </w:p>
    <w:p>
      <w:pPr>
        <w:pStyle w:val="BodyText"/>
        <w:spacing w:before="0" w:after="0"/>
        <w:contextualSpacing/>
        <w:rPr>
          <w:rFonts w:ascii="Humanst521EU" w:hAnsi="Humanst521EU"/>
          <w:b/>
          <w:i w:val="false"/>
          <w:sz w:val="20"/>
        </w:rPr>
      </w:pPr>
      <w:r>
        <w:rPr>
          <w:rFonts w:ascii="Humanst521EU" w:hAnsi="Humanst521EU"/>
          <w:b/>
          <w:i w:val="false"/>
          <w:sz w:val="20"/>
        </w:rPr>
      </w:r>
    </w:p>
    <w:p>
      <w:pPr>
        <w:pStyle w:val="BodyText"/>
        <w:spacing w:before="1" w:after="1"/>
        <w:contextualSpacing/>
        <w:rPr>
          <w:rFonts w:ascii="Humanst521EU" w:hAnsi="Humanst521EU"/>
          <w:b/>
          <w:i w:val="false"/>
          <w:sz w:val="24"/>
        </w:rPr>
      </w:pPr>
      <w:r>
        <w:rPr>
          <w:rFonts w:ascii="Humanst521EU" w:hAnsi="Humanst521EU"/>
          <w:b/>
          <w:i w:val="false"/>
          <w:sz w:val="24"/>
        </w:rPr>
      </w:r>
    </w:p>
    <w:tbl>
      <w:tblPr>
        <w:tblStyle w:val="TableNormal"/>
        <w:tblW w:w="13749" w:type="dxa"/>
        <w:jc w:val="left"/>
        <w:tblInd w:w="850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 w:firstRow="1" w:noVBand="0" w:lastRow="1" w:firstColumn="1" w:lastColumn="1" w:noHBand="0"/>
      </w:tblPr>
      <w:tblGrid>
        <w:gridCol w:w="624"/>
        <w:gridCol w:w="1933"/>
        <w:gridCol w:w="2116"/>
        <w:gridCol w:w="2267"/>
        <w:gridCol w:w="2269"/>
        <w:gridCol w:w="2268"/>
        <w:gridCol w:w="2272"/>
      </w:tblGrid>
      <w:tr>
        <w:trPr>
          <w:trHeight w:val="400" w:hRule="atLeast"/>
        </w:trPr>
        <w:tc>
          <w:tcPr>
            <w:tcW w:w="624" w:type="dxa"/>
            <w:vMerge w:val="restart"/>
            <w:tcBorders>
              <w:top w:val="single" w:sz="4" w:space="0" w:color="BCBEC0"/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pacing w:before="5" w:after="0"/>
              <w:ind w:hanging="0" w:left="0"/>
              <w:contextualSpacing/>
              <w:jc w:val="left"/>
              <w:rPr>
                <w:rFonts w:ascii="Humanst521EU" w:hAnsi="Humanst521EU"/>
                <w:b/>
                <w:sz w:val="24"/>
              </w:rPr>
            </w:pPr>
            <w:r>
              <w:rPr>
                <w:rFonts w:ascii="Humanst521EU" w:hAnsi="Humanst521EU"/>
                <w:b/>
                <w:sz w:val="24"/>
              </w:rPr>
            </w:r>
          </w:p>
          <w:p>
            <w:pPr>
              <w:pStyle w:val="TableParagraph"/>
              <w:widowControl w:val="false"/>
              <w:spacing w:before="0" w:after="0"/>
              <w:ind w:hanging="0" w:left="109"/>
              <w:contextualSpacing/>
              <w:jc w:val="left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Dział</w:t>
            </w:r>
          </w:p>
          <w:p>
            <w:pPr>
              <w:pStyle w:val="TableParagraph"/>
              <w:widowControl w:val="false"/>
              <w:spacing w:before="0" w:after="0"/>
              <w:ind w:hanging="0" w:left="109"/>
              <w:contextualSpacing/>
              <w:jc w:val="left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sz w:val="17"/>
              </w:rPr>
            </w:r>
          </w:p>
        </w:tc>
        <w:tc>
          <w:tcPr>
            <w:tcW w:w="1933" w:type="dxa"/>
            <w:vMerge w:val="restart"/>
            <w:tcBorders>
              <w:top w:val="single" w:sz="4" w:space="0" w:color="BCBEC0"/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pacing w:before="5" w:after="0"/>
              <w:ind w:hanging="0" w:left="0"/>
              <w:contextualSpacing/>
              <w:jc w:val="left"/>
              <w:rPr>
                <w:rFonts w:ascii="Humanst521EU" w:hAnsi="Humanst521EU"/>
                <w:b/>
                <w:sz w:val="24"/>
              </w:rPr>
            </w:pPr>
            <w:r>
              <w:rPr>
                <w:rFonts w:ascii="Humanst521EU" w:hAnsi="Humanst521EU"/>
                <w:b/>
                <w:sz w:val="24"/>
              </w:rPr>
            </w:r>
          </w:p>
          <w:p>
            <w:pPr>
              <w:pStyle w:val="TableParagraph"/>
              <w:widowControl w:val="false"/>
              <w:spacing w:before="0" w:after="0"/>
              <w:ind w:hanging="0" w:left="613" w:right="613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Temat</w:t>
            </w:r>
          </w:p>
        </w:tc>
        <w:tc>
          <w:tcPr>
            <w:tcW w:w="11192" w:type="dxa"/>
            <w:gridSpan w:val="5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pacing w:before="92" w:after="0"/>
              <w:ind w:hanging="0" w:left="4975" w:right="4975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Poziom wymagań</w:t>
            </w:r>
          </w:p>
        </w:tc>
      </w:tr>
      <w:tr>
        <w:trPr>
          <w:trHeight w:val="535" w:hRule="atLeast"/>
        </w:trPr>
        <w:tc>
          <w:tcPr>
            <w:tcW w:w="624" w:type="dxa"/>
            <w:vMerge w:val="continue"/>
            <w:tcBorders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contextualSpacing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933" w:type="dxa"/>
            <w:vMerge w:val="continue"/>
            <w:tcBorders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contextualSpacing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116" w:type="dxa"/>
            <w:tcBorders>
              <w:top w:val="single" w:sz="4" w:space="0" w:color="BCBEC0"/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pacing w:before="87" w:after="0"/>
              <w:ind w:hanging="0" w:left="334"/>
              <w:contextualSpacing/>
              <w:jc w:val="left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ocena dopuszczająca</w:t>
            </w:r>
          </w:p>
        </w:tc>
        <w:tc>
          <w:tcPr>
            <w:tcW w:w="2267" w:type="dxa"/>
            <w:tcBorders>
              <w:top w:val="single" w:sz="4" w:space="0" w:color="BCBEC0"/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pacing w:before="87" w:after="0"/>
              <w:ind w:hanging="0" w:left="418"/>
              <w:contextualSpacing/>
              <w:jc w:val="left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ocena dostateczna</w:t>
            </w:r>
          </w:p>
        </w:tc>
        <w:tc>
          <w:tcPr>
            <w:tcW w:w="2269" w:type="dxa"/>
            <w:tcBorders>
              <w:top w:val="single" w:sz="4" w:space="0" w:color="BCBEC0"/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pacing w:before="87" w:after="0"/>
              <w:ind w:hanging="0" w:left="656"/>
              <w:contextualSpacing/>
              <w:jc w:val="left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ocena dobra</w:t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pacing w:before="87" w:after="0"/>
              <w:ind w:hanging="0" w:left="365"/>
              <w:contextualSpacing/>
              <w:jc w:val="left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ocena bardzo dobra</w:t>
            </w:r>
          </w:p>
        </w:tc>
        <w:tc>
          <w:tcPr>
            <w:tcW w:w="2272" w:type="dxa"/>
            <w:tcBorders>
              <w:top w:val="single" w:sz="4" w:space="0" w:color="BCBEC0"/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pacing w:before="87" w:after="0"/>
              <w:ind w:hanging="0" w:left="576"/>
              <w:contextualSpacing/>
              <w:jc w:val="left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ocena celująca</w:t>
            </w:r>
          </w:p>
        </w:tc>
      </w:tr>
      <w:tr>
        <w:trPr>
          <w:trHeight w:val="1961" w:hRule="atLeast"/>
        </w:trPr>
        <w:tc>
          <w:tcPr>
            <w:tcW w:w="624" w:type="dxa"/>
            <w:vMerge w:val="restart"/>
            <w:tcBorders>
              <w:left w:val="single" w:sz="6" w:space="0" w:color="BCBEC0"/>
              <w:bottom w:val="single" w:sz="4" w:space="0" w:color="BCBEC0"/>
              <w:right w:val="single" w:sz="6" w:space="0" w:color="BCBEC0"/>
            </w:tcBorders>
            <w:shd w:color="auto" w:fill="auto" w:val="clear"/>
            <w:textDirection w:val="btLr"/>
          </w:tcPr>
          <w:p>
            <w:pPr>
              <w:pStyle w:val="TableParagraph"/>
              <w:widowControl w:val="false"/>
              <w:spacing w:before="0" w:after="0"/>
              <w:ind w:hanging="0" w:left="109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 xml:space="preserve">IX. </w:t>
            </w:r>
            <w:r>
              <w:rPr>
                <w:rFonts w:ascii="Humanst521EU" w:hAnsi="Humanst521EU"/>
                <w:b/>
                <w:spacing w:val="-3"/>
                <w:kern w:val="0"/>
                <w:sz w:val="17"/>
                <w:szCs w:val="22"/>
                <w:lang w:eastAsia="en-US" w:bidi="ar-SA"/>
              </w:rPr>
              <w:t>R</w:t>
            </w: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ozmnażanie i rozwój człowieka</w:t>
            </w:r>
          </w:p>
          <w:p>
            <w:pPr>
              <w:pStyle w:val="TableParagraph"/>
              <w:widowControl w:val="false"/>
              <w:spacing w:before="0" w:after="0"/>
              <w:ind w:hanging="0" w:left="109"/>
              <w:contextualSpacing/>
              <w:jc w:val="left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sz w:val="17"/>
              </w:rPr>
            </w:r>
          </w:p>
          <w:p>
            <w:pPr>
              <w:pStyle w:val="Normal"/>
              <w:widowControl w:val="false"/>
              <w:spacing w:before="0" w:after="0"/>
              <w:contextualSpacing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933" w:type="dxa"/>
            <w:tcBorders>
              <w:top w:val="single" w:sz="4" w:space="0" w:color="BCBEC0"/>
              <w:left w:val="single" w:sz="6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pacing w:lineRule="exact" w:line="206" w:before="57" w:after="0"/>
              <w:ind w:hanging="255" w:left="300"/>
              <w:contextualSpacing/>
              <w:jc w:val="left"/>
              <w:rPr>
                <w:b/>
                <w:sz w:val="17"/>
              </w:rPr>
            </w:pPr>
            <w:r>
              <w:rPr>
                <w:b/>
                <w:kern w:val="0"/>
                <w:sz w:val="17"/>
                <w:szCs w:val="22"/>
                <w:lang w:eastAsia="en-US" w:bidi="ar-SA"/>
              </w:rPr>
              <w:t>39. Rozwój człowieka – od poczęcia do narodzin</w:t>
            </w:r>
          </w:p>
        </w:tc>
        <w:tc>
          <w:tcPr>
            <w:tcW w:w="2116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26"/>
              </w:numPr>
              <w:tabs>
                <w:tab w:val="clear" w:pos="720"/>
                <w:tab w:val="left" w:pos="221" w:leader="none"/>
              </w:tabs>
              <w:spacing w:lineRule="auto" w:line="235" w:before="61" w:after="0"/>
              <w:ind w:hanging="170" w:left="220" w:right="557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wymienia etapy przedurodzeniowe - zygota, zarodek, płód</w:t>
            </w:r>
          </w:p>
          <w:p>
            <w:pPr>
              <w:pStyle w:val="TableParagraph"/>
              <w:widowControl w:val="false"/>
              <w:numPr>
                <w:ilvl w:val="0"/>
                <w:numId w:val="26"/>
              </w:numPr>
              <w:tabs>
                <w:tab w:val="clear" w:pos="720"/>
                <w:tab w:val="left" w:pos="221" w:leader="none"/>
              </w:tabs>
              <w:spacing w:lineRule="auto" w:line="235" w:before="61" w:after="0"/>
              <w:ind w:hanging="170" w:left="220" w:right="557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nazwa  błony płodowe</w:t>
            </w:r>
          </w:p>
          <w:p>
            <w:pPr>
              <w:pStyle w:val="TableParagraph"/>
              <w:widowControl w:val="false"/>
              <w:numPr>
                <w:ilvl w:val="0"/>
                <w:numId w:val="26"/>
              </w:numPr>
              <w:tabs>
                <w:tab w:val="clear" w:pos="720"/>
                <w:tab w:val="left" w:pos="221" w:leader="none"/>
              </w:tabs>
              <w:spacing w:lineRule="auto" w:line="235" w:before="0" w:after="0"/>
              <w:ind w:hanging="170" w:left="220" w:right="457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podaje długość trwania rozwoju płodowego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221" w:leader="none"/>
              </w:tabs>
              <w:spacing w:lineRule="auto" w:line="235" w:before="0" w:after="0"/>
              <w:ind w:hanging="0" w:left="220" w:right="274"/>
              <w:contextualSpacing/>
              <w:jc w:val="left"/>
              <w:rPr>
                <w:sz w:val="17"/>
              </w:rPr>
            </w:pPr>
            <w:r>
              <w:rPr>
                <w:sz w:val="17"/>
              </w:rPr>
            </w:r>
          </w:p>
        </w:tc>
        <w:tc>
          <w:tcPr>
            <w:tcW w:w="226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25"/>
              </w:numPr>
              <w:tabs>
                <w:tab w:val="clear" w:pos="720"/>
                <w:tab w:val="left" w:pos="221" w:leader="none"/>
              </w:tabs>
              <w:spacing w:lineRule="auto" w:line="235" w:before="61" w:after="0"/>
              <w:ind w:hanging="170" w:left="220" w:right="241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porządkuje etapy rozwoju zarodka od zapłodnienia do zagnieżdżenia</w:t>
            </w:r>
          </w:p>
          <w:p>
            <w:pPr>
              <w:pStyle w:val="TableParagraph"/>
              <w:widowControl w:val="false"/>
              <w:numPr>
                <w:ilvl w:val="0"/>
                <w:numId w:val="25"/>
              </w:numPr>
              <w:tabs>
                <w:tab w:val="clear" w:pos="720"/>
                <w:tab w:val="left" w:pos="221" w:leader="none"/>
              </w:tabs>
              <w:spacing w:lineRule="exact" w:line="202" w:before="0" w:after="0"/>
              <w:contextualSpacing/>
              <w:jc w:val="left"/>
              <w:rPr>
                <w:rFonts w:ascii="Humanst521EU" w:hAnsi="Humanst521EU"/>
                <w:i/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 xml:space="preserve">wyjaśnia znaczenie pojęcia </w:t>
            </w:r>
            <w:r>
              <w:rPr>
                <w:rFonts w:ascii="Humanst521EU" w:hAnsi="Humanst521EU"/>
                <w:i/>
                <w:kern w:val="0"/>
                <w:sz w:val="17"/>
                <w:szCs w:val="22"/>
                <w:lang w:eastAsia="en-US" w:bidi="ar-SA"/>
              </w:rPr>
              <w:t>zapłodnienie</w:t>
            </w:r>
          </w:p>
          <w:p>
            <w:pPr>
              <w:pStyle w:val="TableParagraph"/>
              <w:widowControl w:val="false"/>
              <w:numPr>
                <w:ilvl w:val="0"/>
                <w:numId w:val="25"/>
              </w:numPr>
              <w:tabs>
                <w:tab w:val="clear" w:pos="720"/>
                <w:tab w:val="left" w:pos="221" w:leader="none"/>
              </w:tabs>
              <w:spacing w:lineRule="exact" w:line="202" w:before="0" w:after="0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podaje czas trwania ciąży</w:t>
            </w:r>
          </w:p>
          <w:p>
            <w:pPr>
              <w:pStyle w:val="TableParagraph"/>
              <w:widowControl w:val="false"/>
              <w:numPr>
                <w:ilvl w:val="0"/>
                <w:numId w:val="25"/>
              </w:numPr>
              <w:tabs>
                <w:tab w:val="clear" w:pos="720"/>
                <w:tab w:val="left" w:pos="221" w:leader="none"/>
              </w:tabs>
              <w:spacing w:lineRule="auto" w:line="235" w:before="2" w:after="0"/>
              <w:ind w:hanging="170" w:left="220" w:right="249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omawia wpływ różnych czynników na prawidłowy rozwój zarodka i płodu</w:t>
            </w:r>
          </w:p>
        </w:tc>
        <w:tc>
          <w:tcPr>
            <w:tcW w:w="2269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24"/>
              </w:numPr>
              <w:tabs>
                <w:tab w:val="clear" w:pos="720"/>
                <w:tab w:val="left" w:pos="221" w:leader="none"/>
              </w:tabs>
              <w:spacing w:lineRule="auto" w:line="235" w:before="61" w:after="0"/>
              <w:ind w:hanging="170" w:left="220" w:right="145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charakteryzuje funkcje błon płodowych</w:t>
            </w:r>
          </w:p>
          <w:p>
            <w:pPr>
              <w:pStyle w:val="TableParagraph"/>
              <w:widowControl w:val="false"/>
              <w:numPr>
                <w:ilvl w:val="0"/>
                <w:numId w:val="24"/>
              </w:numPr>
              <w:tabs>
                <w:tab w:val="clear" w:pos="720"/>
                <w:tab w:val="left" w:pos="221" w:leader="none"/>
              </w:tabs>
              <w:spacing w:lineRule="auto" w:line="235" w:before="0" w:after="0"/>
              <w:ind w:hanging="170" w:left="220" w:right="599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omawia okres rozwoju płodowego</w:t>
            </w:r>
          </w:p>
          <w:p>
            <w:pPr>
              <w:pStyle w:val="TableParagraph"/>
              <w:widowControl w:val="false"/>
              <w:numPr>
                <w:ilvl w:val="0"/>
                <w:numId w:val="24"/>
              </w:numPr>
              <w:tabs>
                <w:tab w:val="clear" w:pos="720"/>
                <w:tab w:val="left" w:pos="221" w:leader="none"/>
              </w:tabs>
              <w:spacing w:lineRule="auto" w:line="235" w:before="0" w:after="0"/>
              <w:ind w:hanging="170" w:left="220" w:right="122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wyjaśnia przyczyny zmian zachodzących w organizmie kobiety podczas ciąży</w:t>
            </w:r>
          </w:p>
          <w:p>
            <w:pPr>
              <w:pStyle w:val="TableParagraph"/>
              <w:widowControl w:val="false"/>
              <w:numPr>
                <w:ilvl w:val="0"/>
                <w:numId w:val="24"/>
              </w:numPr>
              <w:tabs>
                <w:tab w:val="clear" w:pos="720"/>
                <w:tab w:val="left" w:pos="221" w:leader="none"/>
              </w:tabs>
              <w:spacing w:lineRule="exact" w:line="204" w:before="0" w:after="0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charakteryzuje etapy porodu</w:t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23"/>
              </w:numPr>
              <w:tabs>
                <w:tab w:val="clear" w:pos="720"/>
                <w:tab w:val="left" w:pos="221" w:leader="none"/>
              </w:tabs>
              <w:spacing w:lineRule="exact" w:line="206" w:before="57" w:after="0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analizuje funkcje łożyska</w:t>
            </w:r>
          </w:p>
          <w:p>
            <w:pPr>
              <w:pStyle w:val="TableParagraph"/>
              <w:widowControl w:val="false"/>
              <w:numPr>
                <w:ilvl w:val="0"/>
                <w:numId w:val="23"/>
              </w:numPr>
              <w:tabs>
                <w:tab w:val="clear" w:pos="720"/>
                <w:tab w:val="left" w:pos="221" w:leader="none"/>
              </w:tabs>
              <w:spacing w:lineRule="auto" w:line="235" w:before="2" w:after="0"/>
              <w:ind w:hanging="170" w:left="220" w:right="105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uzasadnia konieczność przestrzegania zasad higieny przez kobiety w ciąży</w:t>
            </w:r>
          </w:p>
          <w:p>
            <w:pPr>
              <w:pStyle w:val="TableParagraph"/>
              <w:widowControl w:val="false"/>
              <w:numPr>
                <w:ilvl w:val="0"/>
                <w:numId w:val="23"/>
              </w:numPr>
              <w:tabs>
                <w:tab w:val="clear" w:pos="720"/>
                <w:tab w:val="left" w:pos="221" w:leader="none"/>
              </w:tabs>
              <w:spacing w:lineRule="auto" w:line="235" w:before="0" w:after="0"/>
              <w:ind w:hanging="170" w:left="220" w:right="557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omawia mechanizm powstawania ciąży pojedynczej i mnogiej</w:t>
            </w:r>
          </w:p>
        </w:tc>
        <w:tc>
          <w:tcPr>
            <w:tcW w:w="2272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22"/>
              </w:numPr>
              <w:tabs>
                <w:tab w:val="clear" w:pos="720"/>
                <w:tab w:val="left" w:pos="221" w:leader="none"/>
              </w:tabs>
              <w:spacing w:lineRule="auto" w:line="235" w:before="61" w:after="0"/>
              <w:ind w:hanging="170" w:left="220" w:right="418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wskazuje   zasady higieny zalecane kobietom w ciąży</w:t>
            </w:r>
          </w:p>
        </w:tc>
      </w:tr>
      <w:tr>
        <w:trPr>
          <w:trHeight w:val="1403" w:hRule="atLeast"/>
        </w:trPr>
        <w:tc>
          <w:tcPr>
            <w:tcW w:w="624" w:type="dxa"/>
            <w:vMerge w:val="continue"/>
            <w:tcBorders>
              <w:left w:val="single" w:sz="6" w:space="0" w:color="BCBEC0"/>
              <w:bottom w:val="single" w:sz="4" w:space="0" w:color="BCBEC0"/>
              <w:right w:val="single" w:sz="6" w:space="0" w:color="BCBEC0"/>
            </w:tcBorders>
            <w:shd w:color="auto" w:fill="auto" w:val="clear"/>
            <w:textDirection w:val="btLr"/>
          </w:tcPr>
          <w:p>
            <w:pPr>
              <w:pStyle w:val="Normal"/>
              <w:widowControl w:val="false"/>
              <w:spacing w:before="0" w:after="0"/>
              <w:contextualSpacing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933" w:type="dxa"/>
            <w:tcBorders>
              <w:top w:val="single" w:sz="4" w:space="0" w:color="BCBEC0"/>
              <w:left w:val="single" w:sz="6" w:space="0" w:color="BCBEC0"/>
              <w:bottom w:val="single" w:sz="6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pacing w:lineRule="auto" w:line="235" w:before="61" w:after="0"/>
              <w:ind w:hanging="252" w:left="298"/>
              <w:contextualSpacing/>
              <w:jc w:val="left"/>
              <w:rPr>
                <w:b/>
                <w:sz w:val="17"/>
              </w:rPr>
            </w:pPr>
            <w:r>
              <w:rPr>
                <w:b/>
                <w:kern w:val="0"/>
                <w:sz w:val="17"/>
                <w:szCs w:val="22"/>
                <w:lang w:eastAsia="en-US" w:bidi="ar-SA"/>
              </w:rPr>
              <w:t>40. Rozwój człowieka – od narodzin do starości</w:t>
            </w:r>
          </w:p>
        </w:tc>
        <w:tc>
          <w:tcPr>
            <w:tcW w:w="2116" w:type="dxa"/>
            <w:tcBorders>
              <w:top w:val="single" w:sz="4" w:space="0" w:color="BCBEC0"/>
              <w:left w:val="single" w:sz="4" w:space="0" w:color="BCBEC0"/>
              <w:bottom w:val="single" w:sz="6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21"/>
              </w:numPr>
              <w:tabs>
                <w:tab w:val="clear" w:pos="720"/>
                <w:tab w:val="left" w:pos="221" w:leader="none"/>
              </w:tabs>
              <w:spacing w:lineRule="auto" w:line="235" w:before="61" w:after="0"/>
              <w:ind w:hanging="170" w:left="220" w:right="589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wymienia etapy życia człowieka</w:t>
            </w:r>
          </w:p>
          <w:p>
            <w:pPr>
              <w:pStyle w:val="TableParagraph"/>
              <w:widowControl w:val="false"/>
              <w:numPr>
                <w:ilvl w:val="0"/>
                <w:numId w:val="21"/>
              </w:numPr>
              <w:tabs>
                <w:tab w:val="clear" w:pos="720"/>
                <w:tab w:val="left" w:pos="221" w:leader="none"/>
              </w:tabs>
              <w:spacing w:lineRule="exact" w:line="204" w:before="0" w:after="0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nazywa rodzaje dojrzałości człowieka</w:t>
            </w:r>
          </w:p>
        </w:tc>
        <w:tc>
          <w:tcPr>
            <w:tcW w:w="2267" w:type="dxa"/>
            <w:tcBorders>
              <w:top w:val="single" w:sz="4" w:space="0" w:color="BCBEC0"/>
              <w:left w:val="single" w:sz="4" w:space="0" w:color="BCBEC0"/>
              <w:bottom w:val="single" w:sz="6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20"/>
              </w:numPr>
              <w:tabs>
                <w:tab w:val="clear" w:pos="720"/>
                <w:tab w:val="left" w:pos="220" w:leader="none"/>
              </w:tabs>
              <w:spacing w:lineRule="auto" w:line="235" w:before="61" w:after="0"/>
              <w:ind w:hanging="170" w:left="220" w:right="191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określa zmiany rozwojowe u swoich rówieśników</w:t>
            </w:r>
          </w:p>
          <w:p>
            <w:pPr>
              <w:pStyle w:val="TableParagraph"/>
              <w:widowControl w:val="false"/>
              <w:numPr>
                <w:ilvl w:val="0"/>
                <w:numId w:val="20"/>
              </w:numPr>
              <w:tabs>
                <w:tab w:val="clear" w:pos="720"/>
                <w:tab w:val="left" w:pos="220" w:leader="none"/>
              </w:tabs>
              <w:spacing w:lineRule="auto" w:line="235" w:before="0" w:after="0"/>
              <w:ind w:hanging="170" w:left="220" w:right="142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opisuje objawy starzenia się organizmu</w:t>
            </w:r>
          </w:p>
          <w:p>
            <w:pPr>
              <w:pStyle w:val="TableParagraph"/>
              <w:widowControl w:val="false"/>
              <w:numPr>
                <w:ilvl w:val="0"/>
                <w:numId w:val="20"/>
              </w:numPr>
              <w:tabs>
                <w:tab w:val="clear" w:pos="720"/>
                <w:tab w:val="left" w:pos="220" w:leader="none"/>
              </w:tabs>
              <w:spacing w:lineRule="auto" w:line="235" w:before="0" w:after="0"/>
              <w:ind w:hanging="170" w:left="220" w:right="141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wskazuje  różnice w tempie dojrzewania dziewcząt i chłopców</w:t>
            </w:r>
          </w:p>
        </w:tc>
        <w:tc>
          <w:tcPr>
            <w:tcW w:w="2269" w:type="dxa"/>
            <w:tcBorders>
              <w:top w:val="single" w:sz="4" w:space="0" w:color="BCBEC0"/>
              <w:left w:val="single" w:sz="4" w:space="0" w:color="BCBEC0"/>
              <w:bottom w:val="single" w:sz="6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19"/>
              </w:numPr>
              <w:tabs>
                <w:tab w:val="clear" w:pos="720"/>
                <w:tab w:val="left" w:pos="220" w:leader="none"/>
              </w:tabs>
              <w:spacing w:lineRule="auto" w:line="235" w:before="61" w:after="0"/>
              <w:ind w:hanging="170" w:left="219" w:right="320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charakteryzuje wskazane okresy rozwojowe</w:t>
            </w:r>
          </w:p>
          <w:p>
            <w:pPr>
              <w:pStyle w:val="TableParagraph"/>
              <w:widowControl w:val="false"/>
              <w:numPr>
                <w:ilvl w:val="0"/>
                <w:numId w:val="19"/>
              </w:numPr>
              <w:tabs>
                <w:tab w:val="clear" w:pos="720"/>
                <w:tab w:val="left" w:pos="220" w:leader="none"/>
              </w:tabs>
              <w:spacing w:lineRule="exact" w:line="202" w:before="0" w:after="0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przedstawia cechy oraz przebieg fizycznego, psychicznego i społecznego dojrzewania człowieka</w:t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6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18"/>
              </w:numPr>
              <w:tabs>
                <w:tab w:val="clear" w:pos="720"/>
                <w:tab w:val="left" w:pos="220" w:leader="none"/>
              </w:tabs>
              <w:spacing w:lineRule="auto" w:line="235" w:before="61" w:after="0"/>
              <w:ind w:hanging="170" w:left="219" w:right="259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analizuje różnice między przekwitaniem a starością</w:t>
            </w:r>
          </w:p>
          <w:p>
            <w:pPr>
              <w:pStyle w:val="TableParagraph"/>
              <w:widowControl w:val="false"/>
              <w:numPr>
                <w:ilvl w:val="0"/>
                <w:numId w:val="18"/>
              </w:numPr>
              <w:tabs>
                <w:tab w:val="clear" w:pos="720"/>
                <w:tab w:val="left" w:pos="220" w:leader="none"/>
              </w:tabs>
              <w:spacing w:lineRule="auto" w:line="235" w:before="0" w:after="0"/>
              <w:ind w:hanging="170" w:left="219" w:right="98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przyporządkowuje okresom rozwojowym zmiany zachodzące w organizmie</w:t>
            </w:r>
          </w:p>
        </w:tc>
        <w:tc>
          <w:tcPr>
            <w:tcW w:w="2272" w:type="dxa"/>
            <w:tcBorders>
              <w:top w:val="single" w:sz="4" w:space="0" w:color="BCBEC0"/>
              <w:left w:val="single" w:sz="4" w:space="0" w:color="BCBEC0"/>
              <w:bottom w:val="single" w:sz="6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17"/>
              </w:numPr>
              <w:tabs>
                <w:tab w:val="clear" w:pos="720"/>
                <w:tab w:val="left" w:pos="220" w:leader="none"/>
              </w:tabs>
              <w:spacing w:lineRule="auto" w:line="235" w:before="61" w:after="0"/>
              <w:ind w:hanging="170" w:left="219" w:right="203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tworzy w dowolnej formie prezentację na temat dojrzewania</w:t>
            </w:r>
          </w:p>
          <w:p>
            <w:pPr>
              <w:pStyle w:val="TableParagraph"/>
              <w:widowControl w:val="false"/>
              <w:numPr>
                <w:ilvl w:val="0"/>
                <w:numId w:val="17"/>
              </w:numPr>
              <w:tabs>
                <w:tab w:val="clear" w:pos="720"/>
                <w:tab w:val="left" w:pos="220" w:leader="none"/>
              </w:tabs>
              <w:spacing w:lineRule="exact" w:line="202" w:before="0" w:after="0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tworzy portfolio ze zdjęciami swojej rodziny, której członkowie znajdują się w różnych okresach rozwoju</w:t>
            </w:r>
          </w:p>
        </w:tc>
      </w:tr>
    </w:tbl>
    <w:p>
      <w:pPr>
        <w:sectPr>
          <w:footerReference w:type="even" r:id="rId35"/>
          <w:footerReference w:type="default" r:id="rId36"/>
          <w:footerReference w:type="first" r:id="rId37"/>
          <w:type w:val="nextPage"/>
          <w:pgSz w:orient="landscape" w:w="15600" w:h="11630"/>
          <w:pgMar w:left="0" w:right="880" w:gutter="0" w:header="0" w:top="0" w:footer="708" w:bottom="765"/>
          <w:pgNumType w:fmt="decimal"/>
          <w:formProt w:val="false"/>
          <w:textDirection w:val="lrTb"/>
          <w:docGrid w:type="default" w:linePitch="100" w:charSpace="0"/>
        </w:sectPr>
      </w:pPr>
    </w:p>
    <w:tbl>
      <w:tblPr>
        <w:tblStyle w:val="TableNormal"/>
        <w:tblW w:w="13749" w:type="dxa"/>
        <w:jc w:val="left"/>
        <w:tblInd w:w="110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 w:firstRow="1" w:noVBand="0" w:lastRow="1" w:firstColumn="1" w:lastColumn="1" w:noHBand="0"/>
      </w:tblPr>
      <w:tblGrid>
        <w:gridCol w:w="624"/>
        <w:gridCol w:w="2046"/>
        <w:gridCol w:w="2003"/>
        <w:gridCol w:w="2267"/>
        <w:gridCol w:w="2269"/>
        <w:gridCol w:w="2268"/>
        <w:gridCol w:w="2272"/>
      </w:tblGrid>
      <w:tr>
        <w:trPr>
          <w:trHeight w:val="400" w:hRule="atLeast"/>
        </w:trPr>
        <w:tc>
          <w:tcPr>
            <w:tcW w:w="624" w:type="dxa"/>
            <w:vMerge w:val="restart"/>
            <w:tcBorders>
              <w:top w:val="single" w:sz="4" w:space="0" w:color="BCBEC0"/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pacing w:before="5" w:after="0"/>
              <w:ind w:hanging="0" w:left="0"/>
              <w:contextualSpacing/>
              <w:jc w:val="left"/>
              <w:rPr>
                <w:rFonts w:ascii="Humanst521EU" w:hAnsi="Humanst521EU"/>
                <w:b/>
                <w:sz w:val="24"/>
              </w:rPr>
            </w:pPr>
            <w:r>
              <w:rPr>
                <w:rFonts w:ascii="Humanst521EU" w:hAnsi="Humanst521EU"/>
                <w:b/>
                <w:sz w:val="24"/>
              </w:rPr>
            </w:r>
          </w:p>
          <w:p>
            <w:pPr>
              <w:pStyle w:val="TableParagraph"/>
              <w:widowControl w:val="false"/>
              <w:spacing w:before="0" w:after="0"/>
              <w:ind w:hanging="0" w:left="109"/>
              <w:contextualSpacing/>
              <w:jc w:val="left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Dział</w:t>
            </w:r>
          </w:p>
        </w:tc>
        <w:tc>
          <w:tcPr>
            <w:tcW w:w="2046" w:type="dxa"/>
            <w:vMerge w:val="restart"/>
            <w:tcBorders>
              <w:top w:val="single" w:sz="4" w:space="0" w:color="BCBEC0"/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pacing w:before="5" w:after="0"/>
              <w:ind w:hanging="0" w:left="0"/>
              <w:contextualSpacing/>
              <w:jc w:val="left"/>
              <w:rPr>
                <w:rFonts w:ascii="Humanst521EU" w:hAnsi="Humanst521EU"/>
                <w:b/>
                <w:sz w:val="24"/>
              </w:rPr>
            </w:pPr>
            <w:r>
              <w:rPr>
                <w:rFonts w:ascii="Humanst521EU" w:hAnsi="Humanst521EU"/>
                <w:b/>
                <w:sz w:val="24"/>
              </w:rPr>
            </w:r>
          </w:p>
          <w:p>
            <w:pPr>
              <w:pStyle w:val="TableParagraph"/>
              <w:widowControl w:val="false"/>
              <w:spacing w:before="0" w:after="0"/>
              <w:ind w:hanging="0" w:left="613" w:right="613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Temat</w:t>
            </w:r>
          </w:p>
        </w:tc>
        <w:tc>
          <w:tcPr>
            <w:tcW w:w="11079" w:type="dxa"/>
            <w:gridSpan w:val="5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pacing w:before="92" w:after="0"/>
              <w:ind w:hanging="0" w:left="4975" w:right="4975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Poziom wymagań</w:t>
            </w:r>
          </w:p>
        </w:tc>
      </w:tr>
      <w:tr>
        <w:trPr>
          <w:trHeight w:val="380" w:hRule="atLeast"/>
        </w:trPr>
        <w:tc>
          <w:tcPr>
            <w:tcW w:w="624" w:type="dxa"/>
            <w:vMerge w:val="continue"/>
            <w:tcBorders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contextualSpacing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046" w:type="dxa"/>
            <w:vMerge w:val="continue"/>
            <w:tcBorders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contextualSpacing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003" w:type="dxa"/>
            <w:tcBorders>
              <w:top w:val="single" w:sz="4" w:space="0" w:color="BCBEC0"/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pacing w:before="87" w:after="0"/>
              <w:ind w:hanging="0" w:left="334"/>
              <w:contextualSpacing/>
              <w:jc w:val="left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ocena dopuszczająca</w:t>
            </w:r>
          </w:p>
        </w:tc>
        <w:tc>
          <w:tcPr>
            <w:tcW w:w="2267" w:type="dxa"/>
            <w:tcBorders>
              <w:top w:val="single" w:sz="4" w:space="0" w:color="BCBEC0"/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pacing w:before="87" w:after="0"/>
              <w:ind w:hanging="0" w:left="418"/>
              <w:contextualSpacing/>
              <w:jc w:val="left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ocena dostateczna</w:t>
            </w:r>
          </w:p>
        </w:tc>
        <w:tc>
          <w:tcPr>
            <w:tcW w:w="2269" w:type="dxa"/>
            <w:tcBorders>
              <w:top w:val="single" w:sz="4" w:space="0" w:color="BCBEC0"/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pacing w:before="87" w:after="0"/>
              <w:ind w:hanging="0" w:left="656"/>
              <w:contextualSpacing/>
              <w:jc w:val="left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ocena dobra</w:t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pacing w:before="87" w:after="0"/>
              <w:ind w:hanging="0" w:left="365"/>
              <w:contextualSpacing/>
              <w:jc w:val="left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ocena bardzo dobra</w:t>
            </w:r>
          </w:p>
        </w:tc>
        <w:tc>
          <w:tcPr>
            <w:tcW w:w="2272" w:type="dxa"/>
            <w:tcBorders>
              <w:top w:val="single" w:sz="4" w:space="0" w:color="BCBEC0"/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pacing w:before="87" w:after="0"/>
              <w:ind w:hanging="0" w:left="576"/>
              <w:contextualSpacing/>
              <w:jc w:val="left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ocena celująca</w:t>
            </w:r>
          </w:p>
        </w:tc>
      </w:tr>
      <w:tr>
        <w:trPr>
          <w:trHeight w:val="2017" w:hRule="atLeast"/>
        </w:trPr>
        <w:tc>
          <w:tcPr>
            <w:tcW w:w="624" w:type="dxa"/>
            <w:tcBorders>
              <w:top w:val="single" w:sz="8" w:space="0" w:color="FDB515"/>
              <w:left w:val="single" w:sz="6" w:space="0" w:color="BCBEC0"/>
              <w:bottom w:val="single" w:sz="4" w:space="0" w:color="BCBEC0"/>
              <w:right w:val="single" w:sz="6" w:space="0" w:color="BCBEC0"/>
            </w:tcBorders>
            <w:shd w:color="auto" w:fill="auto" w:val="clear"/>
            <w:textDirection w:val="btLr"/>
          </w:tcPr>
          <w:p>
            <w:pPr>
              <w:pStyle w:val="TableParagraph"/>
              <w:widowControl w:val="false"/>
              <w:spacing w:before="9" w:after="0"/>
              <w:ind w:hanging="0" w:left="0"/>
              <w:contextualSpacing/>
              <w:jc w:val="left"/>
              <w:rPr>
                <w:rFonts w:ascii="Humanst521EU" w:hAnsi="Humanst521EU"/>
                <w:b/>
                <w:sz w:val="15"/>
              </w:rPr>
            </w:pPr>
            <w:r>
              <w:rPr>
                <w:rFonts w:ascii="Humanst521EU" w:hAnsi="Humanst521EU"/>
                <w:b/>
                <w:sz w:val="15"/>
              </w:rPr>
            </w:r>
          </w:p>
          <w:p>
            <w:pPr>
              <w:pStyle w:val="TableParagraph"/>
              <w:widowControl w:val="false"/>
              <w:spacing w:before="1" w:after="0"/>
              <w:ind w:hanging="0" w:left="1053"/>
              <w:contextualSpacing/>
              <w:jc w:val="left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 xml:space="preserve">IX. </w:t>
            </w:r>
            <w:r>
              <w:rPr>
                <w:rFonts w:ascii="Humanst521EU" w:hAnsi="Humanst521EU"/>
                <w:b/>
                <w:spacing w:val="-3"/>
                <w:kern w:val="0"/>
                <w:sz w:val="17"/>
                <w:szCs w:val="22"/>
                <w:lang w:eastAsia="en-US" w:bidi="ar-SA"/>
              </w:rPr>
              <w:t>R</w:t>
            </w: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ozmnażanie i rozwój człowieka</w:t>
            </w:r>
          </w:p>
        </w:tc>
        <w:tc>
          <w:tcPr>
            <w:tcW w:w="2046" w:type="dxa"/>
            <w:tcBorders>
              <w:top w:val="single" w:sz="8" w:space="0" w:color="FDB515"/>
              <w:left w:val="single" w:sz="6" w:space="0" w:color="BCBEC0"/>
              <w:bottom w:val="single" w:sz="4" w:space="0" w:color="BCBEC0"/>
              <w:right w:val="single" w:sz="6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pacing w:lineRule="auto" w:line="235" w:before="61" w:after="0"/>
              <w:ind w:hanging="258" w:left="306" w:right="71"/>
              <w:contextualSpacing/>
              <w:jc w:val="left"/>
              <w:rPr>
                <w:b/>
                <w:sz w:val="17"/>
              </w:rPr>
            </w:pPr>
            <w:r>
              <w:rPr>
                <w:b/>
                <w:kern w:val="0"/>
                <w:sz w:val="17"/>
                <w:szCs w:val="22"/>
                <w:lang w:eastAsia="en-US" w:bidi="ar-SA"/>
              </w:rPr>
              <w:t>41. Higiena i choroby układu rozrodczego</w:t>
            </w:r>
          </w:p>
        </w:tc>
        <w:tc>
          <w:tcPr>
            <w:tcW w:w="2003" w:type="dxa"/>
            <w:tcBorders>
              <w:top w:val="single" w:sz="8" w:space="0" w:color="FDB515"/>
              <w:left w:val="single" w:sz="6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16"/>
              </w:numPr>
              <w:tabs>
                <w:tab w:val="clear" w:pos="720"/>
                <w:tab w:val="left" w:pos="220" w:leader="none"/>
              </w:tabs>
              <w:spacing w:lineRule="auto" w:line="235" w:before="61" w:after="0"/>
              <w:ind w:hanging="170" w:left="219" w:right="274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wymienia choroby układu rozrodczego</w:t>
            </w:r>
          </w:p>
          <w:p>
            <w:pPr>
              <w:pStyle w:val="TableParagraph"/>
              <w:widowControl w:val="false"/>
              <w:numPr>
                <w:ilvl w:val="0"/>
                <w:numId w:val="16"/>
              </w:numPr>
              <w:tabs>
                <w:tab w:val="clear" w:pos="720"/>
                <w:tab w:val="left" w:pos="220" w:leader="none"/>
              </w:tabs>
              <w:spacing w:lineRule="auto" w:line="235" w:before="0" w:after="0"/>
              <w:ind w:hanging="170" w:left="219" w:right="142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wymienia choroby przenoszone drogą płciową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220" w:leader="none"/>
              </w:tabs>
              <w:spacing w:lineRule="auto" w:line="235" w:before="0" w:after="0"/>
              <w:ind w:hanging="0" w:left="219" w:right="387"/>
              <w:contextualSpacing/>
              <w:jc w:val="left"/>
              <w:rPr>
                <w:sz w:val="17"/>
              </w:rPr>
            </w:pPr>
            <w:r>
              <w:rPr>
                <w:sz w:val="17"/>
              </w:rPr>
            </w:r>
          </w:p>
        </w:tc>
        <w:tc>
          <w:tcPr>
            <w:tcW w:w="2267" w:type="dxa"/>
            <w:tcBorders>
              <w:top w:val="single" w:sz="8" w:space="0" w:color="FDB515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15"/>
              </w:numPr>
              <w:tabs>
                <w:tab w:val="clear" w:pos="720"/>
                <w:tab w:val="left" w:pos="222" w:leader="none"/>
              </w:tabs>
              <w:spacing w:lineRule="auto" w:line="235" w:before="61" w:after="0"/>
              <w:ind w:hanging="170" w:left="221" w:right="335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wskazuje kontakty płciowe jako potencjalne źródło zakażenia układu rozrodczego</w:t>
            </w:r>
          </w:p>
          <w:p>
            <w:pPr>
              <w:pStyle w:val="TableParagraph"/>
              <w:widowControl w:val="false"/>
              <w:numPr>
                <w:ilvl w:val="0"/>
                <w:numId w:val="15"/>
              </w:numPr>
              <w:tabs>
                <w:tab w:val="clear" w:pos="720"/>
                <w:tab w:val="left" w:pos="222" w:leader="none"/>
              </w:tabs>
              <w:spacing w:lineRule="auto" w:line="235" w:before="0" w:after="0"/>
              <w:ind w:hanging="170" w:left="221" w:right="140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przyporządkowuje chorobom źródła zakażenia</w:t>
            </w:r>
          </w:p>
          <w:p>
            <w:pPr>
              <w:pStyle w:val="TableParagraph"/>
              <w:widowControl w:val="false"/>
              <w:numPr>
                <w:ilvl w:val="0"/>
                <w:numId w:val="15"/>
              </w:numPr>
              <w:tabs>
                <w:tab w:val="clear" w:pos="720"/>
                <w:tab w:val="left" w:pos="222" w:leader="none"/>
              </w:tabs>
              <w:spacing w:lineRule="auto" w:line="235" w:before="0" w:after="0"/>
              <w:ind w:hanging="170" w:left="221" w:right="377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wyjaśnia różnicę między nosicielstwem HIVa chorobą AIDS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222" w:leader="none"/>
              </w:tabs>
              <w:spacing w:lineRule="auto" w:line="235" w:before="1" w:after="0"/>
              <w:ind w:hanging="0" w:left="221" w:right="242"/>
              <w:contextualSpacing/>
              <w:jc w:val="left"/>
              <w:rPr>
                <w:sz w:val="17"/>
              </w:rPr>
            </w:pPr>
            <w:r>
              <w:rPr>
                <w:sz w:val="17"/>
              </w:rPr>
            </w:r>
          </w:p>
        </w:tc>
        <w:tc>
          <w:tcPr>
            <w:tcW w:w="2269" w:type="dxa"/>
            <w:tcBorders>
              <w:top w:val="single" w:sz="8" w:space="0" w:color="FDB515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14"/>
              </w:numPr>
              <w:tabs>
                <w:tab w:val="clear" w:pos="720"/>
                <w:tab w:val="left" w:pos="222" w:leader="none"/>
              </w:tabs>
              <w:spacing w:lineRule="auto" w:line="235" w:before="61" w:after="0"/>
              <w:ind w:hanging="170" w:left="221" w:right="245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wyjaśnia konieczność regularnych wizyt u ginekologa</w:t>
            </w:r>
          </w:p>
          <w:p>
            <w:pPr>
              <w:pStyle w:val="TableParagraph"/>
              <w:widowControl w:val="false"/>
              <w:numPr>
                <w:ilvl w:val="0"/>
                <w:numId w:val="14"/>
              </w:numPr>
              <w:tabs>
                <w:tab w:val="clear" w:pos="720"/>
                <w:tab w:val="left" w:pos="222" w:leader="none"/>
              </w:tabs>
              <w:spacing w:lineRule="auto" w:line="235" w:before="3" w:after="0"/>
              <w:ind w:hanging="170" w:left="221" w:right="258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przyporządkowuje chorobom ich charakterystyczne objawy</w:t>
            </w:r>
          </w:p>
          <w:p>
            <w:pPr>
              <w:pStyle w:val="TableParagraph"/>
              <w:widowControl w:val="false"/>
              <w:numPr>
                <w:ilvl w:val="0"/>
                <w:numId w:val="14"/>
              </w:numPr>
              <w:tabs>
                <w:tab w:val="clear" w:pos="720"/>
                <w:tab w:val="left" w:pos="222" w:leader="none"/>
              </w:tabs>
              <w:spacing w:lineRule="auto" w:line="235" w:before="3" w:after="0"/>
              <w:ind w:hanging="170" w:left="221" w:right="258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przedstawia podstawowe zasady profilaktyki chorób przenoszonych drogą płciową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222" w:leader="none"/>
              </w:tabs>
              <w:spacing w:lineRule="auto" w:line="235" w:before="1" w:after="0"/>
              <w:ind w:hanging="0" w:left="221" w:right="199"/>
              <w:contextualSpacing/>
              <w:jc w:val="left"/>
              <w:rPr>
                <w:sz w:val="17"/>
              </w:rPr>
            </w:pPr>
            <w:r>
              <w:rPr>
                <w:sz w:val="17"/>
              </w:rPr>
            </w:r>
          </w:p>
        </w:tc>
        <w:tc>
          <w:tcPr>
            <w:tcW w:w="2268" w:type="dxa"/>
            <w:tcBorders>
              <w:top w:val="single" w:sz="8" w:space="0" w:color="FDB515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13"/>
              </w:numPr>
              <w:tabs>
                <w:tab w:val="clear" w:pos="720"/>
                <w:tab w:val="left" w:pos="222" w:leader="none"/>
              </w:tabs>
              <w:spacing w:lineRule="auto" w:line="235" w:before="61" w:after="0"/>
              <w:ind w:hanging="170" w:left="221" w:right="481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wymienia ryzykowne zachowania seksualne, które mogą prowadzić do zakażenia HIV</w:t>
            </w:r>
          </w:p>
          <w:p>
            <w:pPr>
              <w:pStyle w:val="TableParagraph"/>
              <w:widowControl w:val="false"/>
              <w:numPr>
                <w:ilvl w:val="0"/>
                <w:numId w:val="12"/>
              </w:numPr>
              <w:tabs>
                <w:tab w:val="clear" w:pos="720"/>
                <w:tab w:val="left" w:pos="222" w:leader="none"/>
              </w:tabs>
              <w:spacing w:lineRule="auto" w:line="235" w:before="2" w:after="0"/>
              <w:ind w:hanging="170" w:left="221" w:right="79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uzasadnia konieczność wykonywania badań kontrolnych jako sposobu wczesnego wykrywania raka piersi, raka szyjki macicy  i  raka prostaty</w:t>
            </w:r>
          </w:p>
        </w:tc>
        <w:tc>
          <w:tcPr>
            <w:tcW w:w="2272" w:type="dxa"/>
            <w:tcBorders>
              <w:top w:val="single" w:sz="8" w:space="0" w:color="FDB515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11"/>
              </w:numPr>
              <w:tabs>
                <w:tab w:val="clear" w:pos="720"/>
                <w:tab w:val="left" w:pos="222" w:leader="none"/>
              </w:tabs>
              <w:spacing w:lineRule="auto" w:line="235" w:before="61" w:after="0"/>
              <w:ind w:hanging="170" w:left="221" w:right="386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wyszukuje w różnych źródłach informacje na temat planowanych szczepień przeciwko wirusowi brodawczaka, wywołującego raka szyjki macicy</w:t>
            </w:r>
          </w:p>
        </w:tc>
      </w:tr>
      <w:tr>
        <w:trPr>
          <w:trHeight w:val="2536" w:hRule="atLeast"/>
        </w:trPr>
        <w:tc>
          <w:tcPr>
            <w:tcW w:w="624" w:type="dxa"/>
            <w:tcBorders>
              <w:top w:val="single" w:sz="4" w:space="0" w:color="BCBEC0"/>
              <w:left w:val="single" w:sz="6" w:space="0" w:color="BCBEC0"/>
              <w:bottom w:val="single" w:sz="4" w:space="0" w:color="BCBEC0"/>
              <w:right w:val="single" w:sz="6" w:space="0" w:color="BCBEC0"/>
            </w:tcBorders>
            <w:shd w:color="auto" w:fill="auto" w:val="clear"/>
            <w:textDirection w:val="btLr"/>
          </w:tcPr>
          <w:p>
            <w:pPr>
              <w:pStyle w:val="TableParagraph"/>
              <w:widowControl w:val="false"/>
              <w:spacing w:before="9" w:after="0"/>
              <w:ind w:hanging="0" w:left="0"/>
              <w:contextualSpacing/>
              <w:jc w:val="left"/>
              <w:rPr>
                <w:rFonts w:ascii="Humanst521EU" w:hAnsi="Humanst521EU"/>
                <w:b/>
                <w:sz w:val="15"/>
              </w:rPr>
            </w:pPr>
            <w:r>
              <w:rPr>
                <w:rFonts w:ascii="Humanst521EU" w:hAnsi="Humanst521EU"/>
                <w:b/>
                <w:sz w:val="15"/>
              </w:rPr>
            </w:r>
          </w:p>
          <w:p>
            <w:pPr>
              <w:pStyle w:val="TableParagraph"/>
              <w:widowControl w:val="false"/>
              <w:spacing w:before="1" w:after="0"/>
              <w:ind w:hanging="0" w:left="529"/>
              <w:contextualSpacing/>
              <w:jc w:val="left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 xml:space="preserve">X. </w:t>
            </w:r>
            <w:r>
              <w:rPr>
                <w:rFonts w:ascii="Humanst521EU" w:hAnsi="Humanst521EU"/>
                <w:b/>
                <w:spacing w:val="-3"/>
                <w:kern w:val="0"/>
                <w:sz w:val="17"/>
                <w:szCs w:val="22"/>
                <w:lang w:eastAsia="en-US" w:bidi="ar-SA"/>
              </w:rPr>
              <w:t>R</w:t>
            </w: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ównowaga wewnętrzna organizmu</w:t>
            </w:r>
          </w:p>
        </w:tc>
        <w:tc>
          <w:tcPr>
            <w:tcW w:w="2046" w:type="dxa"/>
            <w:tcBorders>
              <w:top w:val="single" w:sz="4" w:space="0" w:color="BCBEC0"/>
              <w:left w:val="single" w:sz="6" w:space="0" w:color="BCBEC0"/>
              <w:bottom w:val="single" w:sz="6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pacing w:lineRule="auto" w:line="235" w:before="61" w:after="0"/>
              <w:ind w:hanging="255" w:left="300" w:right="388"/>
              <w:contextualSpacing/>
              <w:jc w:val="left"/>
              <w:rPr>
                <w:b/>
                <w:sz w:val="17"/>
              </w:rPr>
            </w:pPr>
            <w:r>
              <w:rPr>
                <w:b/>
                <w:kern w:val="0"/>
                <w:sz w:val="17"/>
                <w:szCs w:val="22"/>
                <w:lang w:eastAsia="en-US" w:bidi="ar-SA"/>
              </w:rPr>
              <w:t>42.Homeostaza.</w:t>
            </w:r>
          </w:p>
          <w:p>
            <w:pPr>
              <w:pStyle w:val="TableParagraph"/>
              <w:widowControl w:val="false"/>
              <w:spacing w:lineRule="auto" w:line="235" w:before="61" w:after="0"/>
              <w:ind w:hanging="255" w:left="300" w:right="388"/>
              <w:contextualSpacing/>
              <w:jc w:val="left"/>
              <w:rPr>
                <w:b/>
                <w:sz w:val="17"/>
              </w:rPr>
            </w:pPr>
            <w:r>
              <w:rPr>
                <w:b/>
                <w:kern w:val="0"/>
                <w:sz w:val="17"/>
                <w:szCs w:val="22"/>
                <w:lang w:eastAsia="en-US" w:bidi="ar-SA"/>
              </w:rPr>
              <w:t>Mechanizmy regulacyjne organizmu</w:t>
            </w:r>
          </w:p>
        </w:tc>
        <w:tc>
          <w:tcPr>
            <w:tcW w:w="2003" w:type="dxa"/>
            <w:tcBorders>
              <w:top w:val="single" w:sz="4" w:space="0" w:color="BCBEC0"/>
              <w:left w:val="single" w:sz="4" w:space="0" w:color="BCBEC0"/>
              <w:bottom w:val="single" w:sz="6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10"/>
              </w:numPr>
              <w:tabs>
                <w:tab w:val="clear" w:pos="720"/>
                <w:tab w:val="left" w:pos="222" w:leader="none"/>
              </w:tabs>
              <w:spacing w:lineRule="auto" w:line="235" w:before="61" w:after="0"/>
              <w:ind w:hanging="170" w:left="221" w:right="113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własnymi słowami wyjaśnia, na czym polega homeostaza</w:t>
            </w:r>
          </w:p>
          <w:p>
            <w:pPr>
              <w:pStyle w:val="TableParagraph"/>
              <w:widowControl w:val="false"/>
              <w:numPr>
                <w:ilvl w:val="0"/>
                <w:numId w:val="10"/>
              </w:numPr>
              <w:tabs>
                <w:tab w:val="clear" w:pos="720"/>
                <w:tab w:val="left" w:pos="222" w:leader="none"/>
              </w:tabs>
              <w:spacing w:lineRule="auto" w:line="235" w:before="0" w:after="0"/>
              <w:ind w:hanging="170" w:left="221" w:right="188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wyjaśnia mechanizm termoregulacji u człowieka</w:t>
            </w:r>
          </w:p>
          <w:p>
            <w:pPr>
              <w:pStyle w:val="TableParagraph"/>
              <w:widowControl w:val="false"/>
              <w:numPr>
                <w:ilvl w:val="0"/>
                <w:numId w:val="10"/>
              </w:numPr>
              <w:tabs>
                <w:tab w:val="clear" w:pos="720"/>
                <w:tab w:val="left" w:pos="222" w:leader="none"/>
              </w:tabs>
              <w:spacing w:lineRule="auto" w:line="235" w:before="0" w:after="0"/>
              <w:ind w:hanging="170" w:left="221" w:right="300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wskazuje drogi wydalania wody z organizmu</w:t>
            </w:r>
          </w:p>
        </w:tc>
        <w:tc>
          <w:tcPr>
            <w:tcW w:w="2267" w:type="dxa"/>
            <w:tcBorders>
              <w:top w:val="single" w:sz="4" w:space="0" w:color="BCBEC0"/>
              <w:left w:val="single" w:sz="4" w:space="0" w:color="BCBEC0"/>
              <w:bottom w:val="single" w:sz="6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9"/>
              </w:numPr>
              <w:tabs>
                <w:tab w:val="clear" w:pos="720"/>
                <w:tab w:val="left" w:pos="222" w:leader="none"/>
              </w:tabs>
              <w:spacing w:lineRule="auto" w:line="235" w:before="61" w:after="0"/>
              <w:ind w:hanging="170" w:left="221" w:right="226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wykazuje na podstawie wcześniej zdobytej wiedzy zależność działania układów pokarmowego i krwionośnego</w:t>
            </w:r>
          </w:p>
          <w:p>
            <w:pPr>
              <w:pStyle w:val="TableParagraph"/>
              <w:widowControl w:val="false"/>
              <w:numPr>
                <w:ilvl w:val="0"/>
                <w:numId w:val="9"/>
              </w:numPr>
              <w:tabs>
                <w:tab w:val="clear" w:pos="720"/>
                <w:tab w:val="left" w:pos="222" w:leader="none"/>
              </w:tabs>
              <w:spacing w:lineRule="auto" w:line="235" w:before="3" w:after="0"/>
              <w:ind w:hanging="170" w:left="221" w:right="494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opisuje, które układy narządów mają wpływ na regulację poziomu wody we krwi</w:t>
            </w:r>
          </w:p>
        </w:tc>
        <w:tc>
          <w:tcPr>
            <w:tcW w:w="2269" w:type="dxa"/>
            <w:tcBorders>
              <w:top w:val="single" w:sz="4" w:space="0" w:color="BCBEC0"/>
              <w:left w:val="single" w:sz="4" w:space="0" w:color="BCBEC0"/>
              <w:bottom w:val="single" w:sz="6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8"/>
              </w:numPr>
              <w:tabs>
                <w:tab w:val="clear" w:pos="720"/>
                <w:tab w:val="left" w:pos="222" w:leader="none"/>
              </w:tabs>
              <w:spacing w:lineRule="auto" w:line="235" w:before="61" w:after="0"/>
              <w:ind w:hanging="170" w:left="221" w:right="326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wyjaśnia, na czym polega homeostaza</w:t>
            </w:r>
          </w:p>
          <w:p>
            <w:pPr>
              <w:pStyle w:val="TableParagraph"/>
              <w:widowControl w:val="false"/>
              <w:numPr>
                <w:ilvl w:val="0"/>
                <w:numId w:val="8"/>
              </w:numPr>
              <w:tabs>
                <w:tab w:val="clear" w:pos="720"/>
                <w:tab w:val="left" w:pos="222" w:leader="none"/>
              </w:tabs>
              <w:spacing w:lineRule="auto" w:line="235" w:before="0" w:after="0"/>
              <w:ind w:hanging="170" w:left="221" w:right="80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na podstawie wcześniej zdobytej wiedzy wykazuje zależność działania układów: nerwowego, pokarmowego i krwionośnego</w:t>
            </w:r>
          </w:p>
          <w:p>
            <w:pPr>
              <w:pStyle w:val="TableParagraph"/>
              <w:widowControl w:val="false"/>
              <w:numPr>
                <w:ilvl w:val="0"/>
                <w:numId w:val="8"/>
              </w:numPr>
              <w:tabs>
                <w:tab w:val="clear" w:pos="720"/>
                <w:tab w:val="left" w:pos="222" w:leader="none"/>
              </w:tabs>
              <w:spacing w:lineRule="auto" w:line="235" w:before="0" w:after="0"/>
              <w:ind w:hanging="170" w:left="221" w:right="265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na podstawie wcześniej zdobytej wiedzy wyjaśnia mechanizm regulacji poziomu glukozy we krwi</w:t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6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7"/>
              </w:numPr>
              <w:tabs>
                <w:tab w:val="clear" w:pos="720"/>
                <w:tab w:val="left" w:pos="222" w:leader="none"/>
              </w:tabs>
              <w:spacing w:lineRule="auto" w:line="235" w:before="61" w:after="0"/>
              <w:ind w:hanging="170" w:left="221" w:right="236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na podstawie wcześniej zdobytej wiedzy wykazuje zależność działania poszczególnych układów narządów w organizmie człowieka</w:t>
            </w:r>
          </w:p>
          <w:p>
            <w:pPr>
              <w:pStyle w:val="TableParagraph"/>
              <w:widowControl w:val="false"/>
              <w:numPr>
                <w:ilvl w:val="0"/>
                <w:numId w:val="7"/>
              </w:numPr>
              <w:tabs>
                <w:tab w:val="clear" w:pos="720"/>
                <w:tab w:val="left" w:pos="222" w:leader="none"/>
              </w:tabs>
              <w:spacing w:lineRule="auto" w:line="235" w:before="0" w:after="0"/>
              <w:ind w:hanging="170" w:left="221" w:right="127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na podstawie wcześniej zdobytej wiedzy wyjaśnia, które układy narządów biorą udział w mechanizmie regulacji poziomu glukozy we krwi</w:t>
            </w:r>
          </w:p>
        </w:tc>
        <w:tc>
          <w:tcPr>
            <w:tcW w:w="2272" w:type="dxa"/>
            <w:tcBorders>
              <w:top w:val="single" w:sz="4" w:space="0" w:color="BCBEC0"/>
              <w:left w:val="single" w:sz="4" w:space="0" w:color="BCBEC0"/>
              <w:bottom w:val="single" w:sz="6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6"/>
              </w:numPr>
              <w:tabs>
                <w:tab w:val="clear" w:pos="720"/>
                <w:tab w:val="left" w:pos="222" w:leader="none"/>
              </w:tabs>
              <w:spacing w:lineRule="auto" w:line="235" w:before="61" w:after="0"/>
              <w:ind w:hanging="170" w:left="221" w:right="382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analizuje i wykazuje rolę regulacji nerwowo-</w:t>
            </w:r>
          </w:p>
          <w:p>
            <w:pPr>
              <w:pStyle w:val="TableParagraph"/>
              <w:widowControl w:val="false"/>
              <w:spacing w:lineRule="auto" w:line="235" w:before="0" w:after="0"/>
              <w:ind w:hanging="0" w:left="221" w:right="114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-hormonalnej w utrzymaniu homeostazy</w:t>
            </w:r>
          </w:p>
        </w:tc>
      </w:tr>
    </w:tbl>
    <w:p>
      <w:pPr>
        <w:sectPr>
          <w:footerReference w:type="even" r:id="rId38"/>
          <w:footerReference w:type="default" r:id="rId39"/>
          <w:footerReference w:type="first" r:id="rId40"/>
          <w:type w:val="nextPage"/>
          <w:pgSz w:orient="landscape" w:w="15600" w:h="11630"/>
          <w:pgMar w:left="740" w:right="880" w:gutter="0" w:header="0" w:top="840" w:footer="708" w:bottom="765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BodyText"/>
        <w:spacing w:before="0" w:after="0"/>
        <w:ind w:left="963"/>
        <w:contextualSpacing/>
        <w:rPr>
          <w:rFonts w:ascii="Humanst521EU" w:hAnsi="Humanst521EU"/>
          <w:i w:val="false"/>
          <w:sz w:val="20"/>
        </w:rPr>
      </w:pPr>
      <w:r>
        <w:rPr>
          <w:rFonts w:ascii="Humanst521EU" w:hAnsi="Humanst521EU"/>
          <w:i w:val="false"/>
          <w:sz w:val="20"/>
        </w:rPr>
      </w:r>
    </w:p>
    <w:p>
      <w:pPr>
        <w:pStyle w:val="BodyText"/>
        <w:spacing w:before="0" w:after="0"/>
        <w:contextualSpacing/>
        <w:rPr>
          <w:rFonts w:ascii="Humanst521EU" w:hAnsi="Humanst521EU"/>
          <w:b/>
          <w:i w:val="false"/>
          <w:sz w:val="20"/>
        </w:rPr>
      </w:pPr>
      <w:r>
        <w:rPr>
          <w:rFonts w:ascii="Humanst521EU" w:hAnsi="Humanst521EU"/>
          <w:b/>
          <w:i w:val="false"/>
          <w:sz w:val="20"/>
        </w:rPr>
      </w:r>
    </w:p>
    <w:p>
      <w:pPr>
        <w:pStyle w:val="BodyText"/>
        <w:spacing w:before="1" w:after="1"/>
        <w:contextualSpacing/>
        <w:rPr>
          <w:rFonts w:ascii="Humanst521EU" w:hAnsi="Humanst521EU"/>
          <w:b/>
          <w:i w:val="false"/>
          <w:sz w:val="24"/>
        </w:rPr>
      </w:pPr>
      <w:r>
        <w:rPr>
          <w:rFonts w:ascii="Humanst521EU" w:hAnsi="Humanst521EU"/>
          <w:b/>
          <w:i w:val="false"/>
          <w:sz w:val="24"/>
        </w:rPr>
      </w:r>
    </w:p>
    <w:tbl>
      <w:tblPr>
        <w:tblStyle w:val="TableNormal"/>
        <w:tblW w:w="13749" w:type="dxa"/>
        <w:jc w:val="left"/>
        <w:tblInd w:w="850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 w:firstRow="1" w:noVBand="0" w:lastRow="1" w:firstColumn="1" w:lastColumn="1" w:noHBand="0"/>
      </w:tblPr>
      <w:tblGrid>
        <w:gridCol w:w="624"/>
        <w:gridCol w:w="1878"/>
        <w:gridCol w:w="2171"/>
        <w:gridCol w:w="2267"/>
        <w:gridCol w:w="2269"/>
        <w:gridCol w:w="2268"/>
        <w:gridCol w:w="2272"/>
      </w:tblGrid>
      <w:tr>
        <w:trPr>
          <w:trHeight w:val="400" w:hRule="atLeast"/>
        </w:trPr>
        <w:tc>
          <w:tcPr>
            <w:tcW w:w="624" w:type="dxa"/>
            <w:vMerge w:val="restart"/>
            <w:tcBorders>
              <w:top w:val="single" w:sz="4" w:space="0" w:color="BCBEC0"/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pacing w:before="5" w:after="0"/>
              <w:ind w:hanging="0" w:left="0"/>
              <w:contextualSpacing/>
              <w:jc w:val="left"/>
              <w:rPr>
                <w:rFonts w:ascii="Humanst521EU" w:hAnsi="Humanst521EU"/>
                <w:b/>
                <w:sz w:val="24"/>
              </w:rPr>
            </w:pPr>
            <w:r>
              <w:rPr>
                <w:rFonts w:ascii="Humanst521EU" w:hAnsi="Humanst521EU"/>
                <w:b/>
                <w:sz w:val="24"/>
              </w:rPr>
            </w:r>
          </w:p>
          <w:p>
            <w:pPr>
              <w:pStyle w:val="TableParagraph"/>
              <w:widowControl w:val="false"/>
              <w:spacing w:before="0" w:after="0"/>
              <w:ind w:hanging="0" w:left="109"/>
              <w:contextualSpacing/>
              <w:jc w:val="left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Dział</w:t>
            </w:r>
          </w:p>
        </w:tc>
        <w:tc>
          <w:tcPr>
            <w:tcW w:w="1878" w:type="dxa"/>
            <w:vMerge w:val="restart"/>
            <w:tcBorders>
              <w:top w:val="single" w:sz="4" w:space="0" w:color="BCBEC0"/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pacing w:before="5" w:after="0"/>
              <w:ind w:hanging="0" w:left="0"/>
              <w:contextualSpacing/>
              <w:jc w:val="left"/>
              <w:rPr>
                <w:rFonts w:ascii="Humanst521EU" w:hAnsi="Humanst521EU"/>
                <w:b/>
                <w:sz w:val="24"/>
              </w:rPr>
            </w:pPr>
            <w:r>
              <w:rPr>
                <w:rFonts w:ascii="Humanst521EU" w:hAnsi="Humanst521EU"/>
                <w:b/>
                <w:sz w:val="24"/>
              </w:rPr>
            </w:r>
          </w:p>
          <w:p>
            <w:pPr>
              <w:pStyle w:val="TableParagraph"/>
              <w:widowControl w:val="false"/>
              <w:spacing w:before="0" w:after="0"/>
              <w:ind w:hanging="0" w:left="613" w:right="613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Temat</w:t>
            </w:r>
          </w:p>
        </w:tc>
        <w:tc>
          <w:tcPr>
            <w:tcW w:w="11247" w:type="dxa"/>
            <w:gridSpan w:val="5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pacing w:before="92" w:after="0"/>
              <w:ind w:hanging="0" w:left="4975" w:right="4975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Poziom wymagań</w:t>
            </w:r>
          </w:p>
        </w:tc>
      </w:tr>
      <w:tr>
        <w:trPr>
          <w:trHeight w:val="380" w:hRule="atLeast"/>
        </w:trPr>
        <w:tc>
          <w:tcPr>
            <w:tcW w:w="624" w:type="dxa"/>
            <w:vMerge w:val="continue"/>
            <w:tcBorders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contextualSpacing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878" w:type="dxa"/>
            <w:vMerge w:val="continue"/>
            <w:tcBorders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contextualSpacing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171" w:type="dxa"/>
            <w:tcBorders>
              <w:top w:val="single" w:sz="4" w:space="0" w:color="BCBEC0"/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pacing w:before="87" w:after="0"/>
              <w:ind w:hanging="0" w:left="334"/>
              <w:contextualSpacing/>
              <w:jc w:val="left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ocena dopuszczająca</w:t>
            </w:r>
          </w:p>
        </w:tc>
        <w:tc>
          <w:tcPr>
            <w:tcW w:w="2267" w:type="dxa"/>
            <w:tcBorders>
              <w:top w:val="single" w:sz="4" w:space="0" w:color="BCBEC0"/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pacing w:before="87" w:after="0"/>
              <w:ind w:hanging="0" w:left="418"/>
              <w:contextualSpacing/>
              <w:jc w:val="left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ocena dostateczna</w:t>
            </w:r>
          </w:p>
        </w:tc>
        <w:tc>
          <w:tcPr>
            <w:tcW w:w="2269" w:type="dxa"/>
            <w:tcBorders>
              <w:top w:val="single" w:sz="4" w:space="0" w:color="BCBEC0"/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pacing w:before="87" w:after="0"/>
              <w:ind w:hanging="0" w:left="656"/>
              <w:contextualSpacing/>
              <w:jc w:val="left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ocena dobra</w:t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pacing w:before="87" w:after="0"/>
              <w:ind w:hanging="0" w:left="365"/>
              <w:contextualSpacing/>
              <w:jc w:val="left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ocena bardzo dobra</w:t>
            </w:r>
          </w:p>
        </w:tc>
        <w:tc>
          <w:tcPr>
            <w:tcW w:w="2272" w:type="dxa"/>
            <w:tcBorders>
              <w:top w:val="single" w:sz="4" w:space="0" w:color="BCBEC0"/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pacing w:before="87" w:after="0"/>
              <w:ind w:hanging="0" w:left="576"/>
              <w:contextualSpacing/>
              <w:jc w:val="left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ocena celująca</w:t>
            </w:r>
          </w:p>
        </w:tc>
      </w:tr>
      <w:tr>
        <w:trPr>
          <w:trHeight w:val="2823" w:hRule="atLeast"/>
        </w:trPr>
        <w:tc>
          <w:tcPr>
            <w:tcW w:w="624" w:type="dxa"/>
            <w:tcBorders>
              <w:top w:val="single" w:sz="8" w:space="0" w:color="FDB515"/>
              <w:left w:val="single" w:sz="6" w:space="0" w:color="BCBEC0"/>
              <w:bottom w:val="single" w:sz="4" w:space="0" w:color="BCBEC0"/>
              <w:right w:val="single" w:sz="6" w:space="0" w:color="BCBEC0"/>
            </w:tcBorders>
            <w:shd w:color="auto" w:fill="auto" w:val="clear"/>
            <w:textDirection w:val="btLr"/>
          </w:tcPr>
          <w:p>
            <w:pPr>
              <w:pStyle w:val="TableParagraph"/>
              <w:widowControl w:val="false"/>
              <w:spacing w:before="9" w:after="0"/>
              <w:ind w:hanging="0" w:left="0"/>
              <w:contextualSpacing/>
              <w:jc w:val="left"/>
              <w:rPr>
                <w:rFonts w:ascii="Humanst521EU" w:hAnsi="Humanst521EU"/>
                <w:b/>
                <w:sz w:val="15"/>
              </w:rPr>
            </w:pPr>
            <w:r>
              <w:rPr>
                <w:rFonts w:ascii="Humanst521EU" w:hAnsi="Humanst521EU"/>
                <w:b/>
                <w:sz w:val="15"/>
              </w:rPr>
            </w:r>
          </w:p>
          <w:p>
            <w:pPr>
              <w:pStyle w:val="TableParagraph"/>
              <w:widowControl w:val="false"/>
              <w:spacing w:before="1" w:after="0"/>
              <w:ind w:hanging="0" w:left="0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 xml:space="preserve">X. </w:t>
            </w:r>
            <w:r>
              <w:rPr>
                <w:rFonts w:ascii="Humanst521EU" w:hAnsi="Humanst521EU"/>
                <w:b/>
                <w:spacing w:val="-3"/>
                <w:kern w:val="0"/>
                <w:sz w:val="17"/>
                <w:szCs w:val="22"/>
                <w:lang w:eastAsia="en-US" w:bidi="ar-SA"/>
              </w:rPr>
              <w:t>R</w:t>
            </w: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ównowaga wewnętrzna organizmu</w:t>
            </w:r>
          </w:p>
        </w:tc>
        <w:tc>
          <w:tcPr>
            <w:tcW w:w="1878" w:type="dxa"/>
            <w:tcBorders>
              <w:top w:val="single" w:sz="8" w:space="0" w:color="FDB515"/>
              <w:left w:val="single" w:sz="6" w:space="0" w:color="BCBEC0"/>
              <w:bottom w:val="single" w:sz="4" w:space="0" w:color="BCBEC0"/>
              <w:right w:val="single" w:sz="6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pacing w:lineRule="auto" w:line="235" w:before="61" w:after="0"/>
              <w:ind w:hanging="258" w:left="306" w:right="629"/>
              <w:contextualSpacing/>
              <w:jc w:val="left"/>
              <w:rPr>
                <w:b/>
                <w:sz w:val="17"/>
              </w:rPr>
            </w:pPr>
            <w:r>
              <w:rPr>
                <w:b/>
                <w:kern w:val="0"/>
                <w:sz w:val="17"/>
                <w:szCs w:val="22"/>
                <w:lang w:eastAsia="en-US" w:bidi="ar-SA"/>
              </w:rPr>
              <w:t>43. Choroba</w:t>
            </w:r>
          </w:p>
        </w:tc>
        <w:tc>
          <w:tcPr>
            <w:tcW w:w="2171" w:type="dxa"/>
            <w:tcBorders>
              <w:top w:val="single" w:sz="8" w:space="0" w:color="FDB515"/>
              <w:left w:val="single" w:sz="6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5"/>
              </w:numPr>
              <w:tabs>
                <w:tab w:val="clear" w:pos="720"/>
                <w:tab w:val="left" w:pos="220" w:leader="none"/>
              </w:tabs>
              <w:spacing w:lineRule="auto" w:line="235" w:before="61" w:after="0"/>
              <w:ind w:hanging="170" w:left="219" w:right="209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omawia wpływ trybu życia na stan zdrowia człowieka</w:t>
            </w:r>
          </w:p>
          <w:p>
            <w:pPr>
              <w:pStyle w:val="TableParagraph"/>
              <w:widowControl w:val="false"/>
              <w:numPr>
                <w:ilvl w:val="0"/>
                <w:numId w:val="5"/>
              </w:numPr>
              <w:tabs>
                <w:tab w:val="clear" w:pos="720"/>
                <w:tab w:val="left" w:pos="220" w:leader="none"/>
              </w:tabs>
              <w:spacing w:lineRule="auto" w:line="235" w:before="0" w:after="0"/>
              <w:ind w:hanging="170" w:left="219" w:right="390"/>
              <w:contextualSpacing/>
              <w:jc w:val="both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podaje przykłady trzech chorób zakaźnych wraz z czynnikami, które</w:t>
            </w:r>
          </w:p>
          <w:p>
            <w:pPr>
              <w:pStyle w:val="TableParagraph"/>
              <w:widowControl w:val="false"/>
              <w:spacing w:lineRule="exact" w:line="202" w:before="0" w:after="0"/>
              <w:ind w:hanging="0" w:left="219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je wywołują</w:t>
            </w:r>
          </w:p>
          <w:p>
            <w:pPr>
              <w:pStyle w:val="TableParagraph"/>
              <w:widowControl w:val="false"/>
              <w:numPr>
                <w:ilvl w:val="0"/>
                <w:numId w:val="5"/>
              </w:numPr>
              <w:tabs>
                <w:tab w:val="clear" w:pos="720"/>
                <w:tab w:val="left" w:pos="220" w:leader="none"/>
              </w:tabs>
              <w:spacing w:lineRule="auto" w:line="235" w:before="3" w:after="0"/>
              <w:ind w:hanging="170" w:left="219" w:right="131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wymienia choroby cywilizacyjne</w:t>
            </w:r>
          </w:p>
          <w:p>
            <w:pPr>
              <w:pStyle w:val="TableParagraph"/>
              <w:widowControl w:val="false"/>
              <w:numPr>
                <w:ilvl w:val="0"/>
                <w:numId w:val="5"/>
              </w:numPr>
              <w:tabs>
                <w:tab w:val="clear" w:pos="720"/>
                <w:tab w:val="left" w:pos="220" w:leader="none"/>
              </w:tabs>
              <w:spacing w:lineRule="auto" w:line="235" w:before="1" w:after="0"/>
              <w:ind w:hanging="170" w:left="219" w:right="355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wymienia najczęstsze przyczyny nowotworów</w:t>
            </w:r>
          </w:p>
        </w:tc>
        <w:tc>
          <w:tcPr>
            <w:tcW w:w="2267" w:type="dxa"/>
            <w:tcBorders>
              <w:top w:val="single" w:sz="8" w:space="0" w:color="FDB515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4"/>
              </w:numPr>
              <w:tabs>
                <w:tab w:val="clear" w:pos="720"/>
                <w:tab w:val="left" w:pos="222" w:leader="none"/>
              </w:tabs>
              <w:spacing w:lineRule="auto" w:line="235" w:before="61" w:after="0"/>
              <w:ind w:hanging="170" w:left="221" w:right="310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opisuje zdrowie fizyczne, psychiczne i społeczne</w:t>
            </w:r>
          </w:p>
          <w:p>
            <w:pPr>
              <w:pStyle w:val="TableParagraph"/>
              <w:widowControl w:val="false"/>
              <w:numPr>
                <w:ilvl w:val="0"/>
                <w:numId w:val="4"/>
              </w:numPr>
              <w:tabs>
                <w:tab w:val="clear" w:pos="720"/>
                <w:tab w:val="left" w:pos="222" w:leader="none"/>
              </w:tabs>
              <w:spacing w:lineRule="auto" w:line="235" w:before="0" w:after="0"/>
              <w:ind w:hanging="170" w:left="221" w:right="283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podaje przykłady wpływu środowiska na życiei zdrowie człowieka</w:t>
            </w:r>
          </w:p>
          <w:p>
            <w:pPr>
              <w:pStyle w:val="TableParagraph"/>
              <w:widowControl w:val="false"/>
              <w:numPr>
                <w:ilvl w:val="0"/>
                <w:numId w:val="4"/>
              </w:numPr>
              <w:tabs>
                <w:tab w:val="clear" w:pos="720"/>
                <w:tab w:val="left" w:pos="222" w:leader="none"/>
              </w:tabs>
              <w:spacing w:lineRule="auto" w:line="235" w:before="3" w:after="0"/>
              <w:ind w:hanging="170" w:left="221" w:right="495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przedstawia znaczenie aktywności fizycznej dla prawidłowego funkcjonowania organizmu człowieka</w:t>
            </w:r>
          </w:p>
          <w:p>
            <w:pPr>
              <w:pStyle w:val="TableParagraph"/>
              <w:widowControl w:val="false"/>
              <w:numPr>
                <w:ilvl w:val="0"/>
                <w:numId w:val="4"/>
              </w:numPr>
              <w:tabs>
                <w:tab w:val="clear" w:pos="720"/>
                <w:tab w:val="left" w:pos="222" w:leader="none"/>
              </w:tabs>
              <w:spacing w:lineRule="auto" w:line="235" w:before="1" w:after="0"/>
              <w:ind w:hanging="170" w:left="221" w:right="242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przedstawia podstawowe zasady profilaktyki chorób nowotworowych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222" w:leader="none"/>
              </w:tabs>
              <w:spacing w:lineRule="auto" w:line="235" w:before="1" w:after="0"/>
              <w:ind w:hanging="0" w:left="221" w:right="67"/>
              <w:contextualSpacing/>
              <w:jc w:val="left"/>
              <w:rPr>
                <w:sz w:val="17"/>
              </w:rPr>
            </w:pPr>
            <w:r>
              <w:rPr>
                <w:sz w:val="17"/>
              </w:rPr>
            </w:r>
          </w:p>
        </w:tc>
        <w:tc>
          <w:tcPr>
            <w:tcW w:w="2269" w:type="dxa"/>
            <w:tcBorders>
              <w:top w:val="single" w:sz="8" w:space="0" w:color="FDB515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3"/>
              </w:numPr>
              <w:tabs>
                <w:tab w:val="clear" w:pos="720"/>
                <w:tab w:val="left" w:pos="222" w:leader="none"/>
              </w:tabs>
              <w:spacing w:lineRule="auto" w:line="235" w:before="61" w:after="0"/>
              <w:ind w:hanging="170" w:left="221" w:right="426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charakteryzuje czynniki wpływające na zdrowie człowieka</w:t>
            </w:r>
          </w:p>
          <w:p>
            <w:pPr>
              <w:pStyle w:val="TableParagraph"/>
              <w:widowControl w:val="false"/>
              <w:numPr>
                <w:ilvl w:val="0"/>
                <w:numId w:val="3"/>
              </w:numPr>
              <w:tabs>
                <w:tab w:val="clear" w:pos="720"/>
                <w:tab w:val="left" w:pos="222" w:leader="none"/>
              </w:tabs>
              <w:spacing w:lineRule="auto" w:line="235" w:before="2" w:after="0"/>
              <w:ind w:hanging="170" w:left="221" w:right="139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rozróżnia zdrowie fizyczne, psychiczne i społeczne</w:t>
            </w:r>
          </w:p>
          <w:p>
            <w:pPr>
              <w:pStyle w:val="TableParagraph"/>
              <w:widowControl w:val="false"/>
              <w:numPr>
                <w:ilvl w:val="0"/>
                <w:numId w:val="3"/>
              </w:numPr>
              <w:tabs>
                <w:tab w:val="clear" w:pos="720"/>
                <w:tab w:val="left" w:pos="222" w:leader="none"/>
              </w:tabs>
              <w:spacing w:lineRule="auto" w:line="235" w:before="0" w:after="0"/>
              <w:ind w:hanging="170" w:left="221" w:right="137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podaje kryterium podziału chorób na choroby zakaźne i cywilizacyjne</w:t>
            </w:r>
          </w:p>
          <w:p>
            <w:pPr>
              <w:pStyle w:val="TableParagraph"/>
              <w:widowControl w:val="false"/>
              <w:numPr>
                <w:ilvl w:val="0"/>
                <w:numId w:val="170"/>
              </w:numPr>
              <w:tabs>
                <w:tab w:val="clear" w:pos="720"/>
                <w:tab w:val="left" w:pos="222" w:leader="none"/>
              </w:tabs>
              <w:spacing w:lineRule="auto" w:line="235" w:before="0" w:after="0"/>
              <w:ind w:hanging="170" w:left="221" w:right="58"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wskazuje na co należy zwrócić uwagę czytając  ulotki dołączane do ogólnodostępnych leków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222" w:leader="none"/>
              </w:tabs>
              <w:spacing w:lineRule="auto" w:line="235" w:before="0" w:after="0"/>
              <w:ind w:hanging="0" w:left="221" w:right="137"/>
              <w:contextualSpacing/>
              <w:jc w:val="left"/>
              <w:rPr>
                <w:sz w:val="17"/>
              </w:rPr>
            </w:pPr>
            <w:r>
              <w:rPr>
                <w:sz w:val="17"/>
              </w:rPr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222" w:leader="none"/>
              </w:tabs>
              <w:spacing w:lineRule="auto" w:line="235" w:before="0" w:after="0"/>
              <w:ind w:hanging="0" w:left="221" w:right="604"/>
              <w:contextualSpacing/>
              <w:jc w:val="left"/>
              <w:rPr>
                <w:sz w:val="17"/>
              </w:rPr>
            </w:pPr>
            <w:r>
              <w:rPr>
                <w:sz w:val="17"/>
              </w:rPr>
            </w:r>
          </w:p>
        </w:tc>
        <w:tc>
          <w:tcPr>
            <w:tcW w:w="2268" w:type="dxa"/>
            <w:tcBorders>
              <w:top w:val="single" w:sz="8" w:space="0" w:color="FDB515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2"/>
              </w:numPr>
              <w:tabs>
                <w:tab w:val="clear" w:pos="720"/>
                <w:tab w:val="left" w:pos="222" w:leader="none"/>
              </w:tabs>
              <w:spacing w:lineRule="auto" w:line="235" w:before="61" w:after="0"/>
              <w:ind w:hanging="170" w:left="221" w:right="72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wykazuje wpływ środowiska na zdrowie</w:t>
            </w:r>
          </w:p>
          <w:p>
            <w:pPr>
              <w:pStyle w:val="TableParagraph"/>
              <w:widowControl w:val="false"/>
              <w:numPr>
                <w:ilvl w:val="0"/>
                <w:numId w:val="2"/>
              </w:numPr>
              <w:tabs>
                <w:tab w:val="clear" w:pos="720"/>
                <w:tab w:val="left" w:pos="222" w:leader="none"/>
              </w:tabs>
              <w:spacing w:lineRule="auto" w:line="235" w:before="1" w:after="0"/>
              <w:ind w:hanging="170" w:left="221" w:right="542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uzasadnia, że antybiotyki i inne leki należy stosować zgodnie z zaleceniami lekarza</w:t>
            </w:r>
          </w:p>
          <w:p>
            <w:pPr>
              <w:pStyle w:val="TableParagraph"/>
              <w:widowControl w:val="false"/>
              <w:numPr>
                <w:ilvl w:val="0"/>
                <w:numId w:val="2"/>
              </w:numPr>
              <w:tabs>
                <w:tab w:val="clear" w:pos="720"/>
                <w:tab w:val="left" w:pos="222" w:leader="none"/>
              </w:tabs>
              <w:spacing w:lineRule="auto" w:line="235" w:before="1" w:after="0"/>
              <w:ind w:hanging="170" w:left="221" w:right="208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uzasadnia konieczność okresowego wykonywania podstawowych badań kontrolnych</w:t>
            </w:r>
          </w:p>
          <w:p>
            <w:pPr>
              <w:pStyle w:val="TableParagraph"/>
              <w:widowControl w:val="false"/>
              <w:numPr>
                <w:ilvl w:val="0"/>
                <w:numId w:val="2"/>
              </w:numPr>
              <w:tabs>
                <w:tab w:val="clear" w:pos="720"/>
                <w:tab w:val="left" w:pos="222" w:leader="none"/>
              </w:tabs>
              <w:spacing w:lineRule="auto" w:line="235" w:before="1" w:after="0"/>
              <w:ind w:hanging="170" w:left="221" w:right="208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wskazuje metody zapobiegania chorobom cywilizacyjnym</w:t>
            </w:r>
          </w:p>
        </w:tc>
        <w:tc>
          <w:tcPr>
            <w:tcW w:w="2272" w:type="dxa"/>
            <w:tcBorders>
              <w:top w:val="single" w:sz="8" w:space="0" w:color="FDB515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1"/>
              </w:numPr>
              <w:tabs>
                <w:tab w:val="clear" w:pos="720"/>
                <w:tab w:val="left" w:pos="222" w:leader="none"/>
              </w:tabs>
              <w:spacing w:lineRule="auto" w:line="235" w:before="61" w:after="0"/>
              <w:ind w:hanging="170" w:left="221" w:right="469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formułuje argumenty przemawiające za tym, że nie należy bez wyraźnej potrzeby przyjmować ogólnodostępnych leków oraz suplementów</w:t>
            </w:r>
          </w:p>
          <w:p>
            <w:pPr>
              <w:pStyle w:val="TableParagraph"/>
              <w:widowControl w:val="false"/>
              <w:numPr>
                <w:ilvl w:val="0"/>
                <w:numId w:val="2"/>
              </w:numPr>
              <w:tabs>
                <w:tab w:val="clear" w:pos="720"/>
                <w:tab w:val="left" w:pos="222" w:leader="none"/>
              </w:tabs>
              <w:spacing w:lineRule="auto" w:line="235" w:before="1" w:after="0"/>
              <w:ind w:hanging="170" w:left="221" w:right="542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dowodzi, że stres jest przyczyną chorób cywilizacyjnych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222" w:leader="none"/>
              </w:tabs>
              <w:spacing w:lineRule="auto" w:line="235" w:before="61" w:after="0"/>
              <w:ind w:hanging="0" w:left="221" w:right="469"/>
              <w:contextualSpacing/>
              <w:jc w:val="left"/>
              <w:rPr>
                <w:sz w:val="17"/>
              </w:rPr>
            </w:pPr>
            <w:r>
              <w:rPr>
                <w:sz w:val="17"/>
              </w:rPr>
            </w:r>
          </w:p>
        </w:tc>
      </w:tr>
    </w:tbl>
    <w:p>
      <w:pPr>
        <w:pStyle w:val="Normal"/>
        <w:ind w:left="142" w:right="119"/>
        <w:rPr>
          <w:rFonts w:ascii="Calibri" w:hAnsi="Calibri" w:cs="Calibri" w:asciiTheme="minorHAnsi" w:cstheme="minorHAnsi" w:hAnsiTheme="minorHAnsi"/>
          <w:b/>
          <w:color w:val="000000"/>
          <w:sz w:val="20"/>
          <w:szCs w:val="20"/>
        </w:rPr>
      </w:pPr>
      <w:r>
        <w:rPr>
          <w:rFonts w:cs="Calibri" w:cstheme="minorHAnsi" w:ascii="Calibri" w:hAnsi="Calibri"/>
          <w:b/>
          <w:color w:val="000000"/>
          <w:sz w:val="20"/>
          <w:szCs w:val="20"/>
        </w:rPr>
      </w:r>
    </w:p>
    <w:sectPr>
      <w:footerReference w:type="even" r:id="rId41"/>
      <w:footerReference w:type="default" r:id="rId42"/>
      <w:footerReference w:type="first" r:id="rId43"/>
      <w:type w:val="nextPage"/>
      <w:pgSz w:orient="landscape" w:w="15600" w:h="11630"/>
      <w:pgMar w:left="0" w:right="880" w:gutter="0" w:header="0" w:top="0" w:footer="708" w:bottom="765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Humanst521EU-Normal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Swis721BlkCnEU-Italic">
    <w:charset w:val="ee"/>
    <w:family w:val="roman"/>
    <w:pitch w:val="variable"/>
  </w:font>
  <w:font w:name="Humanst521EU">
    <w:charset w:val="ee"/>
    <w:family w:val="roman"/>
    <w:pitch w:val="variable"/>
  </w:font>
  <w:font w:name="Humanst521EU-Normal">
    <w:charset w:val="01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  <w:p>
    <w:pPr>
      <w:pStyle w:val="Footer"/>
      <w:rPr/>
    </w:pPr>
    <w:r>
      <w:rPr/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  <w:p>
    <w:pPr>
      <w:pStyle w:val="Footer"/>
      <w:rPr/>
    </w:pPr>
    <w:r>
      <w:rPr/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  <w:p>
    <w:pPr>
      <w:pStyle w:val="Footer"/>
      <w:rPr/>
    </w:pPr>
    <w:r>
      <w:rPr/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  <w:p>
    <w:pPr>
      <w:pStyle w:val="Footer"/>
      <w:rPr/>
    </w:pPr>
    <w:r>
      <w:rPr/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  <w:p>
    <w:pPr>
      <w:pStyle w:val="Footer"/>
      <w:rPr/>
    </w:pPr>
    <w:r>
      <w:rPr/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  <w:p>
    <w:pPr>
      <w:pStyle w:val="Footer"/>
      <w:rPr/>
    </w:pPr>
    <w:r>
      <w:rPr/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  <w:p>
    <w:pPr>
      <w:pStyle w:val="Footer"/>
      <w:rPr/>
    </w:pPr>
    <w:r>
      <w:rPr/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  <w:p>
    <w:pPr>
      <w:pStyle w:val="Footer"/>
      <w:rPr/>
    </w:pPr>
    <w:r>
      <w:rPr/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  <w:p>
    <w:pPr>
      <w:pStyle w:val="Footer"/>
      <w:rPr/>
    </w:pPr>
    <w:r>
      <w:rPr/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  <w:p>
    <w:pPr>
      <w:pStyle w:val="Footer"/>
      <w:rPr/>
    </w:pPr>
    <w:r>
      <w:rPr/>
      <w:t xml:space="preserve"> 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  <w:p>
    <w:pPr>
      <w:pStyle w:val="Footer"/>
      <w:rPr/>
    </w:pPr>
    <w:r>
      <w:rPr/>
      <w:t xml:space="preserve"> 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  <w:p>
    <w:pPr>
      <w:pStyle w:val="Footer"/>
      <w:rPr/>
    </w:pPr>
    <w:r>
      <w:rPr/>
      <w:t xml:space="preserve"> 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  <w:p>
    <w:pPr>
      <w:pStyle w:val="Footer"/>
      <w:rPr/>
    </w:pPr>
    <w:r>
      <w:rPr/>
      <w:t xml:space="preserve"> 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  <w:p>
    <w:pPr>
      <w:pStyle w:val="Footer"/>
      <w:rPr/>
    </w:pPr>
    <w:r>
      <w:rPr/>
      <w:t xml:space="preserve"> 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  <w:p>
    <w:pPr>
      <w:pStyle w:val="Footer"/>
      <w:rPr/>
    </w:pPr>
    <w:r>
      <w:rPr/>
      <w:t xml:space="preserve"> 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  <w:p>
    <w:pPr>
      <w:pStyle w:val="Footer"/>
      <w:rPr/>
    </w:pPr>
    <w:r>
      <w:rPr/>
      <w:t xml:space="preserve"> 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  <w:p>
    <w:pPr>
      <w:pStyle w:val="Footer"/>
      <w:rPr/>
    </w:pPr>
    <w:r>
      <w:rPr/>
      <w:t xml:space="preserve"> 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  <w:p>
    <w:pPr>
      <w:pStyle w:val="Footer"/>
      <w:rPr/>
    </w:pPr>
    <w:r>
      <w:rPr/>
      <w:t xml:space="preserve"> </w: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  <w:p>
    <w:pPr>
      <w:pStyle w:val="Footer"/>
      <w:rPr/>
    </w:pPr>
    <w:r>
      <w:rPr/>
      <w:t xml:space="preserve"> </w: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  <w:p>
    <w:pPr>
      <w:pStyle w:val="Footer"/>
      <w:rPr/>
    </w:pPr>
    <w:r>
      <w:rPr/>
      <w:t xml:space="preserve"> </w:t>
    </w:r>
  </w:p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  <w:p>
    <w:pPr>
      <w:pStyle w:val="Footer"/>
      <w:rPr/>
    </w:pPr>
    <w:r>
      <w:rPr/>
      <w:t xml:space="preserve"> </w:t>
    </w:r>
  </w:p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  <w:p>
    <w:pPr>
      <w:pStyle w:val="Footer"/>
      <w:rPr/>
    </w:pPr>
    <w:r>
      <w:rPr/>
      <w:t xml:space="preserve"> </w:t>
    </w:r>
  </w:p>
</w:ftr>
</file>

<file path=word/footer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  <w:p>
    <w:pPr>
      <w:pStyle w:val="Footer"/>
      <w:rPr/>
    </w:pPr>
    <w:r>
      <w:rPr/>
      <w:t xml:space="preserve"> </w:t>
    </w:r>
  </w:p>
</w:ftr>
</file>

<file path=word/footer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  <w:p>
    <w:pPr>
      <w:pStyle w:val="Footer"/>
      <w:rPr/>
    </w:pPr>
    <w:r>
      <w:rPr/>
      <w:t xml:space="preserve"> </w:t>
    </w:r>
  </w:p>
</w:ftr>
</file>

<file path=word/footer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  <w:p>
    <w:pPr>
      <w:pStyle w:val="Footer"/>
      <w:rPr/>
    </w:pPr>
    <w:r>
      <w:rPr/>
      <w:t xml:space="preserve"> </w:t>
    </w:r>
  </w:p>
</w:ftr>
</file>

<file path=word/footer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  <w:p>
    <w:pPr>
      <w:pStyle w:val="Footer"/>
      <w:rPr/>
    </w:pPr>
    <w:r>
      <w:rPr/>
      <w:t xml:space="preserve"> </w:t>
    </w:r>
  </w:p>
</w:ftr>
</file>

<file path=word/footer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  <w:p>
    <w:pPr>
      <w:pStyle w:val="Footer"/>
      <w:rPr/>
    </w:pPr>
    <w:r>
      <w:rPr/>
      <w:t xml:space="preserve"> </w:t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numFmt w:val="bullet"/>
      <w:lvlText w:val="•"/>
      <w:lvlJc w:val="left"/>
      <w:pPr>
        <w:tabs>
          <w:tab w:val="num" w:pos="0"/>
        </w:tabs>
        <w:ind w:left="220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50" w:hanging="170"/>
      </w:pPr>
      <w:rPr>
        <w:rFonts w:ascii="Symbol" w:hAnsi="Symbol" w:cs="Symbol" w:hint="default"/>
      </w:rPr>
    </w:lvl>
  </w:abstractNum>
  <w:abstractNum w:abstractNumId="2">
    <w:lvl w:ilvl="0">
      <w:numFmt w:val="bullet"/>
      <w:lvlText w:val="•"/>
      <w:lvlJc w:val="left"/>
      <w:pPr>
        <w:tabs>
          <w:tab w:val="num" w:pos="0"/>
        </w:tabs>
        <w:ind w:left="218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30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34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37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1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44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48" w:hanging="170"/>
      </w:pPr>
      <w:rPr>
        <w:rFonts w:ascii="Symbol" w:hAnsi="Symbol" w:cs="Symbol" w:hint="default"/>
      </w:rPr>
    </w:lvl>
  </w:abstractNum>
  <w:abstractNum w:abstractNumId="3">
    <w:lvl w:ilvl="0">
      <w:numFmt w:val="bullet"/>
      <w:lvlText w:val="•"/>
      <w:lvlJc w:val="left"/>
      <w:pPr>
        <w:tabs>
          <w:tab w:val="num" w:pos="0"/>
        </w:tabs>
        <w:ind w:left="221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300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51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735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952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170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387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05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22" w:hanging="170"/>
      </w:pPr>
      <w:rPr>
        <w:rFonts w:ascii="Symbol" w:hAnsi="Symbol" w:cs="Symbol" w:hint="default"/>
      </w:rPr>
    </w:lvl>
  </w:abstractNum>
  <w:abstractNum w:abstractNumId="4">
    <w:lvl w:ilvl="0">
      <w:numFmt w:val="bullet"/>
      <w:lvlText w:val="•"/>
      <w:lvlJc w:val="left"/>
      <w:pPr>
        <w:tabs>
          <w:tab w:val="num" w:pos="0"/>
        </w:tabs>
        <w:ind w:left="221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50" w:hanging="170"/>
      </w:pPr>
      <w:rPr>
        <w:rFonts w:ascii="Symbol" w:hAnsi="Symbol" w:cs="Symbol" w:hint="default"/>
      </w:rPr>
    </w:lvl>
  </w:abstractNum>
  <w:abstractNum w:abstractNumId="5">
    <w:lvl w:ilvl="0">
      <w:numFmt w:val="bullet"/>
      <w:lvlText w:val="•"/>
      <w:lvlJc w:val="left"/>
      <w:pPr>
        <w:tabs>
          <w:tab w:val="num" w:pos="0"/>
        </w:tabs>
        <w:ind w:left="221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300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51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735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952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170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387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05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22" w:hanging="170"/>
      </w:pPr>
      <w:rPr>
        <w:rFonts w:ascii="Symbol" w:hAnsi="Symbol" w:cs="Symbol" w:hint="default"/>
      </w:rPr>
    </w:lvl>
  </w:abstractNum>
  <w:abstractNum w:abstractNumId="6">
    <w:lvl w:ilvl="0">
      <w:numFmt w:val="bullet"/>
      <w:lvlText w:val="•"/>
      <w:lvlJc w:val="left"/>
      <w:pPr>
        <w:tabs>
          <w:tab w:val="num" w:pos="0"/>
        </w:tabs>
        <w:ind w:left="221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50" w:hanging="170"/>
      </w:pPr>
      <w:rPr>
        <w:rFonts w:ascii="Symbol" w:hAnsi="Symbol" w:cs="Symbol" w:hint="default"/>
      </w:rPr>
    </w:lvl>
  </w:abstractNum>
  <w:abstractNum w:abstractNumId="7">
    <w:lvl w:ilvl="0">
      <w:numFmt w:val="bullet"/>
      <w:lvlText w:val="•"/>
      <w:lvlJc w:val="left"/>
      <w:pPr>
        <w:tabs>
          <w:tab w:val="num" w:pos="0"/>
        </w:tabs>
        <w:ind w:left="221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50" w:hanging="170"/>
      </w:pPr>
      <w:rPr>
        <w:rFonts w:ascii="Symbol" w:hAnsi="Symbol" w:cs="Symbol" w:hint="default"/>
      </w:rPr>
    </w:lvl>
  </w:abstractNum>
  <w:abstractNum w:abstractNumId="8">
    <w:lvl w:ilvl="0">
      <w:numFmt w:val="bullet"/>
      <w:lvlText w:val="•"/>
      <w:lvlJc w:val="left"/>
      <w:pPr>
        <w:tabs>
          <w:tab w:val="num" w:pos="0"/>
        </w:tabs>
        <w:ind w:left="220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50" w:hanging="170"/>
      </w:pPr>
      <w:rPr>
        <w:rFonts w:ascii="Symbol" w:hAnsi="Symbol" w:cs="Symbol" w:hint="default"/>
      </w:rPr>
    </w:lvl>
  </w:abstractNum>
  <w:abstractNum w:abstractNumId="9">
    <w:lvl w:ilvl="0">
      <w:numFmt w:val="bullet"/>
      <w:lvlText w:val="•"/>
      <w:lvlJc w:val="left"/>
      <w:pPr>
        <w:tabs>
          <w:tab w:val="num" w:pos="0"/>
        </w:tabs>
        <w:ind w:left="221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50" w:hanging="170"/>
      </w:pPr>
      <w:rPr>
        <w:rFonts w:ascii="Symbol" w:hAnsi="Symbol" w:cs="Symbol" w:hint="default"/>
      </w:rPr>
    </w:lvl>
  </w:abstractNum>
  <w:abstractNum w:abstractNumId="10">
    <w:lvl w:ilvl="0">
      <w:numFmt w:val="bullet"/>
      <w:lvlText w:val="•"/>
      <w:lvlJc w:val="left"/>
      <w:pPr>
        <w:tabs>
          <w:tab w:val="num" w:pos="0"/>
        </w:tabs>
        <w:ind w:left="221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50" w:hanging="170"/>
      </w:pPr>
      <w:rPr>
        <w:rFonts w:ascii="Symbol" w:hAnsi="Symbol" w:cs="Symbol" w:hint="default"/>
      </w:rPr>
    </w:lvl>
  </w:abstractNum>
  <w:abstractNum w:abstractNumId="11">
    <w:lvl w:ilvl="0">
      <w:numFmt w:val="bullet"/>
      <w:lvlText w:val="•"/>
      <w:lvlJc w:val="left"/>
      <w:pPr>
        <w:tabs>
          <w:tab w:val="num" w:pos="0"/>
        </w:tabs>
        <w:ind w:left="220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50" w:hanging="170"/>
      </w:pPr>
      <w:rPr>
        <w:rFonts w:ascii="Symbol" w:hAnsi="Symbol" w:cs="Symbol" w:hint="default"/>
      </w:rPr>
    </w:lvl>
  </w:abstractNum>
  <w:abstractNum w:abstractNumId="12">
    <w:lvl w:ilvl="0">
      <w:numFmt w:val="bullet"/>
      <w:lvlText w:val="•"/>
      <w:lvlJc w:val="left"/>
      <w:pPr>
        <w:tabs>
          <w:tab w:val="num" w:pos="0"/>
        </w:tabs>
        <w:ind w:left="221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50" w:hanging="170"/>
      </w:pPr>
      <w:rPr>
        <w:rFonts w:ascii="Symbol" w:hAnsi="Symbol" w:cs="Symbol" w:hint="default"/>
      </w:rPr>
    </w:lvl>
  </w:abstractNum>
  <w:abstractNum w:abstractNumId="13">
    <w:lvl w:ilvl="0">
      <w:numFmt w:val="bullet"/>
      <w:lvlText w:val="•"/>
      <w:lvlJc w:val="left"/>
      <w:pPr>
        <w:tabs>
          <w:tab w:val="num" w:pos="0"/>
        </w:tabs>
        <w:ind w:left="221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50" w:hanging="170"/>
      </w:pPr>
      <w:rPr>
        <w:rFonts w:ascii="Symbol" w:hAnsi="Symbol" w:cs="Symbol" w:hint="default"/>
      </w:rPr>
    </w:lvl>
  </w:abstractNum>
  <w:abstractNum w:abstractNumId="14">
    <w:lvl w:ilvl="0">
      <w:numFmt w:val="bullet"/>
      <w:lvlText w:val="•"/>
      <w:lvlJc w:val="left"/>
      <w:pPr>
        <w:tabs>
          <w:tab w:val="num" w:pos="0"/>
        </w:tabs>
        <w:ind w:left="221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50" w:hanging="170"/>
      </w:pPr>
      <w:rPr>
        <w:rFonts w:ascii="Symbol" w:hAnsi="Symbol" w:cs="Symbol" w:hint="default"/>
      </w:rPr>
    </w:lvl>
  </w:abstractNum>
  <w:abstractNum w:abstractNumId="15">
    <w:lvl w:ilvl="0">
      <w:numFmt w:val="bullet"/>
      <w:lvlText w:val="•"/>
      <w:lvlJc w:val="left"/>
      <w:pPr>
        <w:tabs>
          <w:tab w:val="num" w:pos="0"/>
        </w:tabs>
        <w:ind w:left="220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360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570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78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992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03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14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25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36" w:hanging="170"/>
      </w:pPr>
      <w:rPr>
        <w:rFonts w:ascii="Symbol" w:hAnsi="Symbol" w:cs="Symbol" w:hint="default"/>
      </w:rPr>
    </w:lvl>
  </w:abstractNum>
  <w:abstractNum w:abstractNumId="16">
    <w:lvl w:ilvl="0">
      <w:numFmt w:val="bullet"/>
      <w:lvlText w:val="•"/>
      <w:lvlJc w:val="left"/>
      <w:pPr>
        <w:tabs>
          <w:tab w:val="num" w:pos="0"/>
        </w:tabs>
        <w:ind w:left="221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50" w:hanging="170"/>
      </w:pPr>
      <w:rPr>
        <w:rFonts w:ascii="Symbol" w:hAnsi="Symbol" w:cs="Symbol" w:hint="default"/>
      </w:rPr>
    </w:lvl>
  </w:abstractNum>
  <w:abstractNum w:abstractNumId="17">
    <w:lvl w:ilvl="0">
      <w:numFmt w:val="bullet"/>
      <w:lvlText w:val="•"/>
      <w:lvlJc w:val="left"/>
      <w:pPr>
        <w:tabs>
          <w:tab w:val="num" w:pos="0"/>
        </w:tabs>
        <w:ind w:left="221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50" w:hanging="170"/>
      </w:pPr>
      <w:rPr>
        <w:rFonts w:ascii="Symbol" w:hAnsi="Symbol" w:cs="Symbol" w:hint="default"/>
      </w:rPr>
    </w:lvl>
  </w:abstractNum>
  <w:abstractNum w:abstractNumId="18">
    <w:lvl w:ilvl="0">
      <w:numFmt w:val="bullet"/>
      <w:lvlText w:val="•"/>
      <w:lvlJc w:val="left"/>
      <w:pPr>
        <w:tabs>
          <w:tab w:val="num" w:pos="0"/>
        </w:tabs>
        <w:ind w:left="220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50" w:hanging="170"/>
      </w:pPr>
      <w:rPr>
        <w:rFonts w:ascii="Symbol" w:hAnsi="Symbol" w:cs="Symbol" w:hint="default"/>
      </w:rPr>
    </w:lvl>
  </w:abstractNum>
  <w:abstractNum w:abstractNumId="19">
    <w:lvl w:ilvl="0">
      <w:numFmt w:val="bullet"/>
      <w:lvlText w:val="•"/>
      <w:lvlJc w:val="left"/>
      <w:pPr>
        <w:tabs>
          <w:tab w:val="num" w:pos="0"/>
        </w:tabs>
        <w:ind w:left="221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300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51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735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952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170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387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05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22" w:hanging="170"/>
      </w:pPr>
      <w:rPr>
        <w:rFonts w:ascii="Symbol" w:hAnsi="Symbol" w:cs="Symbol" w:hint="default"/>
      </w:rPr>
    </w:lvl>
  </w:abstractNum>
  <w:abstractNum w:abstractNumId="20">
    <w:lvl w:ilvl="0">
      <w:numFmt w:val="bullet"/>
      <w:lvlText w:val="•"/>
      <w:lvlJc w:val="left"/>
      <w:pPr>
        <w:tabs>
          <w:tab w:val="num" w:pos="0"/>
        </w:tabs>
        <w:ind w:left="221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50" w:hanging="170"/>
      </w:pPr>
      <w:rPr>
        <w:rFonts w:ascii="Symbol" w:hAnsi="Symbol" w:cs="Symbol" w:hint="default"/>
      </w:rPr>
    </w:lvl>
  </w:abstractNum>
  <w:abstractNum w:abstractNumId="21">
    <w:lvl w:ilvl="0">
      <w:numFmt w:val="bullet"/>
      <w:lvlText w:val="•"/>
      <w:lvlJc w:val="left"/>
      <w:pPr>
        <w:tabs>
          <w:tab w:val="num" w:pos="0"/>
        </w:tabs>
        <w:ind w:left="221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50" w:hanging="170"/>
      </w:pPr>
      <w:rPr>
        <w:rFonts w:ascii="Symbol" w:hAnsi="Symbol" w:cs="Symbol" w:hint="default"/>
      </w:rPr>
    </w:lvl>
  </w:abstractNum>
  <w:abstractNum w:abstractNumId="22">
    <w:lvl w:ilvl="0">
      <w:numFmt w:val="bullet"/>
      <w:lvlText w:val="•"/>
      <w:lvlJc w:val="left"/>
      <w:pPr>
        <w:tabs>
          <w:tab w:val="num" w:pos="0"/>
        </w:tabs>
        <w:ind w:left="221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50" w:hanging="170"/>
      </w:pPr>
      <w:rPr>
        <w:rFonts w:ascii="Symbol" w:hAnsi="Symbol" w:cs="Symbol" w:hint="default"/>
      </w:rPr>
    </w:lvl>
  </w:abstractNum>
  <w:abstractNum w:abstractNumId="23">
    <w:lvl w:ilvl="0">
      <w:numFmt w:val="bullet"/>
      <w:lvlText w:val="•"/>
      <w:lvlJc w:val="left"/>
      <w:pPr>
        <w:tabs>
          <w:tab w:val="num" w:pos="0"/>
        </w:tabs>
        <w:ind w:left="221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50" w:hanging="170"/>
      </w:pPr>
      <w:rPr>
        <w:rFonts w:ascii="Symbol" w:hAnsi="Symbol" w:cs="Symbol" w:hint="default"/>
      </w:rPr>
    </w:lvl>
  </w:abstractNum>
  <w:abstractNum w:abstractNumId="24">
    <w:lvl w:ilvl="0">
      <w:numFmt w:val="bullet"/>
      <w:lvlText w:val="•"/>
      <w:lvlJc w:val="left"/>
      <w:pPr>
        <w:tabs>
          <w:tab w:val="num" w:pos="0"/>
        </w:tabs>
        <w:ind w:left="226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24" w:hanging="170"/>
      </w:pPr>
      <w:rPr>
        <w:rFonts w:ascii="Symbol" w:hAnsi="Symbol" w:cs="Symbol" w:hint="default"/>
        <w:lang w:val="en-US" w:eastAsia="en-US" w:bidi="en-US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29" w:hanging="170"/>
      </w:pPr>
      <w:rPr>
        <w:rFonts w:ascii="Symbol" w:hAnsi="Symbol" w:cs="Symbol" w:hint="default"/>
        <w:lang w:val="en-US" w:eastAsia="en-US" w:bidi="en-US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34" w:hanging="170"/>
      </w:pPr>
      <w:rPr>
        <w:rFonts w:ascii="Symbol" w:hAnsi="Symbol" w:cs="Symbol" w:hint="default"/>
        <w:lang w:val="en-US" w:eastAsia="en-US" w:bidi="en-US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39" w:hanging="170"/>
      </w:pPr>
      <w:rPr>
        <w:rFonts w:ascii="Symbol" w:hAnsi="Symbol" w:cs="Symbol" w:hint="default"/>
        <w:lang w:val="en-US" w:eastAsia="en-US" w:bidi="en-US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43" w:hanging="170"/>
      </w:pPr>
      <w:rPr>
        <w:rFonts w:ascii="Symbol" w:hAnsi="Symbol" w:cs="Symbol" w:hint="default"/>
        <w:lang w:val="en-US" w:eastAsia="en-US" w:bidi="en-US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8" w:hanging="170"/>
      </w:pPr>
      <w:rPr>
        <w:rFonts w:ascii="Symbol" w:hAnsi="Symbol" w:cs="Symbol" w:hint="default"/>
        <w:lang w:val="en-US" w:eastAsia="en-US" w:bidi="en-US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53" w:hanging="170"/>
      </w:pPr>
      <w:rPr>
        <w:rFonts w:ascii="Symbol" w:hAnsi="Symbol" w:cs="Symbol" w:hint="default"/>
        <w:lang w:val="en-US" w:eastAsia="en-US" w:bidi="en-US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58" w:hanging="170"/>
      </w:pPr>
      <w:rPr>
        <w:rFonts w:ascii="Symbol" w:hAnsi="Symbol" w:cs="Symbol" w:hint="default"/>
        <w:lang w:val="en-US" w:eastAsia="en-US" w:bidi="en-US"/>
      </w:rPr>
    </w:lvl>
  </w:abstractNum>
  <w:abstractNum w:abstractNumId="25">
    <w:lvl w:ilvl="0">
      <w:numFmt w:val="bullet"/>
      <w:lvlText w:val="•"/>
      <w:lvlJc w:val="left"/>
      <w:pPr>
        <w:tabs>
          <w:tab w:val="num" w:pos="0"/>
        </w:tabs>
        <w:ind w:left="226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300" w:hanging="170"/>
      </w:pPr>
      <w:rPr>
        <w:rFonts w:ascii="Symbol" w:hAnsi="Symbol" w:cs="Symbol" w:hint="default"/>
        <w:lang w:val="en-US" w:eastAsia="en-US" w:bidi="en-US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518" w:hanging="170"/>
      </w:pPr>
      <w:rPr>
        <w:rFonts w:ascii="Symbol" w:hAnsi="Symbol" w:cs="Symbol" w:hint="default"/>
        <w:lang w:val="en-US" w:eastAsia="en-US" w:bidi="en-US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737" w:hanging="170"/>
      </w:pPr>
      <w:rPr>
        <w:rFonts w:ascii="Symbol" w:hAnsi="Symbol" w:cs="Symbol" w:hint="default"/>
        <w:lang w:val="en-US" w:eastAsia="en-US" w:bidi="en-US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955" w:hanging="170"/>
      </w:pPr>
      <w:rPr>
        <w:rFonts w:ascii="Symbol" w:hAnsi="Symbol" w:cs="Symbol" w:hint="default"/>
        <w:lang w:val="en-US" w:eastAsia="en-US" w:bidi="en-US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174" w:hanging="170"/>
      </w:pPr>
      <w:rPr>
        <w:rFonts w:ascii="Symbol" w:hAnsi="Symbol" w:cs="Symbol" w:hint="default"/>
        <w:lang w:val="en-US" w:eastAsia="en-US" w:bidi="en-US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393" w:hanging="170"/>
      </w:pPr>
      <w:rPr>
        <w:rFonts w:ascii="Symbol" w:hAnsi="Symbol" w:cs="Symbol" w:hint="default"/>
        <w:lang w:val="en-US" w:eastAsia="en-US" w:bidi="en-US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11" w:hanging="170"/>
      </w:pPr>
      <w:rPr>
        <w:rFonts w:ascii="Symbol" w:hAnsi="Symbol" w:cs="Symbol" w:hint="default"/>
        <w:lang w:val="en-US" w:eastAsia="en-US" w:bidi="en-US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30" w:hanging="170"/>
      </w:pPr>
      <w:rPr>
        <w:rFonts w:ascii="Symbol" w:hAnsi="Symbol" w:cs="Symbol" w:hint="default"/>
        <w:lang w:val="en-US" w:eastAsia="en-US" w:bidi="en-US"/>
      </w:rPr>
    </w:lvl>
  </w:abstractNum>
  <w:abstractNum w:abstractNumId="26">
    <w:lvl w:ilvl="0">
      <w:numFmt w:val="bullet"/>
      <w:lvlText w:val="•"/>
      <w:lvlJc w:val="left"/>
      <w:pPr>
        <w:tabs>
          <w:tab w:val="num" w:pos="0"/>
        </w:tabs>
        <w:ind w:left="225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24" w:hanging="170"/>
      </w:pPr>
      <w:rPr>
        <w:rFonts w:ascii="Symbol" w:hAnsi="Symbol" w:cs="Symbol" w:hint="default"/>
        <w:lang w:val="en-US" w:eastAsia="en-US" w:bidi="en-US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29" w:hanging="170"/>
      </w:pPr>
      <w:rPr>
        <w:rFonts w:ascii="Symbol" w:hAnsi="Symbol" w:cs="Symbol" w:hint="default"/>
        <w:lang w:val="en-US" w:eastAsia="en-US" w:bidi="en-US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34" w:hanging="170"/>
      </w:pPr>
      <w:rPr>
        <w:rFonts w:ascii="Symbol" w:hAnsi="Symbol" w:cs="Symbol" w:hint="default"/>
        <w:lang w:val="en-US" w:eastAsia="en-US" w:bidi="en-US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39" w:hanging="170"/>
      </w:pPr>
      <w:rPr>
        <w:rFonts w:ascii="Symbol" w:hAnsi="Symbol" w:cs="Symbol" w:hint="default"/>
        <w:lang w:val="en-US" w:eastAsia="en-US" w:bidi="en-US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43" w:hanging="170"/>
      </w:pPr>
      <w:rPr>
        <w:rFonts w:ascii="Symbol" w:hAnsi="Symbol" w:cs="Symbol" w:hint="default"/>
        <w:lang w:val="en-US" w:eastAsia="en-US" w:bidi="en-US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8" w:hanging="170"/>
      </w:pPr>
      <w:rPr>
        <w:rFonts w:ascii="Symbol" w:hAnsi="Symbol" w:cs="Symbol" w:hint="default"/>
        <w:lang w:val="en-US" w:eastAsia="en-US" w:bidi="en-US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53" w:hanging="170"/>
      </w:pPr>
      <w:rPr>
        <w:rFonts w:ascii="Symbol" w:hAnsi="Symbol" w:cs="Symbol" w:hint="default"/>
        <w:lang w:val="en-US" w:eastAsia="en-US" w:bidi="en-US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58" w:hanging="170"/>
      </w:pPr>
      <w:rPr>
        <w:rFonts w:ascii="Symbol" w:hAnsi="Symbol" w:cs="Symbol" w:hint="default"/>
        <w:lang w:val="en-US" w:eastAsia="en-US" w:bidi="en-US"/>
      </w:rPr>
    </w:lvl>
  </w:abstractNum>
  <w:abstractNum w:abstractNumId="27">
    <w:lvl w:ilvl="0">
      <w:numFmt w:val="bullet"/>
      <w:lvlText w:val="•"/>
      <w:lvlJc w:val="left"/>
      <w:pPr>
        <w:tabs>
          <w:tab w:val="num" w:pos="0"/>
        </w:tabs>
        <w:ind w:left="226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300" w:hanging="170"/>
      </w:pPr>
      <w:rPr>
        <w:rFonts w:ascii="Symbol" w:hAnsi="Symbol" w:cs="Symbol" w:hint="default"/>
        <w:lang w:val="en-US" w:eastAsia="en-US" w:bidi="en-US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518" w:hanging="170"/>
      </w:pPr>
      <w:rPr>
        <w:rFonts w:ascii="Symbol" w:hAnsi="Symbol" w:cs="Symbol" w:hint="default"/>
        <w:lang w:val="en-US" w:eastAsia="en-US" w:bidi="en-US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737" w:hanging="170"/>
      </w:pPr>
      <w:rPr>
        <w:rFonts w:ascii="Symbol" w:hAnsi="Symbol" w:cs="Symbol" w:hint="default"/>
        <w:lang w:val="en-US" w:eastAsia="en-US" w:bidi="en-US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955" w:hanging="170"/>
      </w:pPr>
      <w:rPr>
        <w:rFonts w:ascii="Symbol" w:hAnsi="Symbol" w:cs="Symbol" w:hint="default"/>
        <w:lang w:val="en-US" w:eastAsia="en-US" w:bidi="en-US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174" w:hanging="170"/>
      </w:pPr>
      <w:rPr>
        <w:rFonts w:ascii="Symbol" w:hAnsi="Symbol" w:cs="Symbol" w:hint="default"/>
        <w:lang w:val="en-US" w:eastAsia="en-US" w:bidi="en-US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393" w:hanging="170"/>
      </w:pPr>
      <w:rPr>
        <w:rFonts w:ascii="Symbol" w:hAnsi="Symbol" w:cs="Symbol" w:hint="default"/>
        <w:lang w:val="en-US" w:eastAsia="en-US" w:bidi="en-US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11" w:hanging="170"/>
      </w:pPr>
      <w:rPr>
        <w:rFonts w:ascii="Symbol" w:hAnsi="Symbol" w:cs="Symbol" w:hint="default"/>
        <w:lang w:val="en-US" w:eastAsia="en-US" w:bidi="en-US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30" w:hanging="170"/>
      </w:pPr>
      <w:rPr>
        <w:rFonts w:ascii="Symbol" w:hAnsi="Symbol" w:cs="Symbol" w:hint="default"/>
        <w:lang w:val="en-US" w:eastAsia="en-US" w:bidi="en-US"/>
      </w:rPr>
    </w:lvl>
  </w:abstractNum>
  <w:abstractNum w:abstractNumId="28">
    <w:lvl w:ilvl="0">
      <w:numFmt w:val="bullet"/>
      <w:lvlText w:val="•"/>
      <w:lvlJc w:val="left"/>
      <w:pPr>
        <w:tabs>
          <w:tab w:val="num" w:pos="0"/>
        </w:tabs>
        <w:ind w:left="225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24" w:hanging="170"/>
      </w:pPr>
      <w:rPr>
        <w:rFonts w:ascii="Symbol" w:hAnsi="Symbol" w:cs="Symbol" w:hint="default"/>
        <w:lang w:val="en-US" w:eastAsia="en-US" w:bidi="en-US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29" w:hanging="170"/>
      </w:pPr>
      <w:rPr>
        <w:rFonts w:ascii="Symbol" w:hAnsi="Symbol" w:cs="Symbol" w:hint="default"/>
        <w:lang w:val="en-US" w:eastAsia="en-US" w:bidi="en-US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34" w:hanging="170"/>
      </w:pPr>
      <w:rPr>
        <w:rFonts w:ascii="Symbol" w:hAnsi="Symbol" w:cs="Symbol" w:hint="default"/>
        <w:lang w:val="en-US" w:eastAsia="en-US" w:bidi="en-US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39" w:hanging="170"/>
      </w:pPr>
      <w:rPr>
        <w:rFonts w:ascii="Symbol" w:hAnsi="Symbol" w:cs="Symbol" w:hint="default"/>
        <w:lang w:val="en-US" w:eastAsia="en-US" w:bidi="en-US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43" w:hanging="170"/>
      </w:pPr>
      <w:rPr>
        <w:rFonts w:ascii="Symbol" w:hAnsi="Symbol" w:cs="Symbol" w:hint="default"/>
        <w:lang w:val="en-US" w:eastAsia="en-US" w:bidi="en-US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8" w:hanging="170"/>
      </w:pPr>
      <w:rPr>
        <w:rFonts w:ascii="Symbol" w:hAnsi="Symbol" w:cs="Symbol" w:hint="default"/>
        <w:lang w:val="en-US" w:eastAsia="en-US" w:bidi="en-US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53" w:hanging="170"/>
      </w:pPr>
      <w:rPr>
        <w:rFonts w:ascii="Symbol" w:hAnsi="Symbol" w:cs="Symbol" w:hint="default"/>
        <w:lang w:val="en-US" w:eastAsia="en-US" w:bidi="en-US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58" w:hanging="170"/>
      </w:pPr>
      <w:rPr>
        <w:rFonts w:ascii="Symbol" w:hAnsi="Symbol" w:cs="Symbol" w:hint="default"/>
        <w:lang w:val="en-US" w:eastAsia="en-US" w:bidi="en-US"/>
      </w:rPr>
    </w:lvl>
  </w:abstractNum>
  <w:abstractNum w:abstractNumId="29">
    <w:lvl w:ilvl="0">
      <w:numFmt w:val="bullet"/>
      <w:lvlText w:val="•"/>
      <w:lvlJc w:val="left"/>
      <w:pPr>
        <w:tabs>
          <w:tab w:val="num" w:pos="0"/>
        </w:tabs>
        <w:ind w:left="224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24" w:hanging="170"/>
      </w:pPr>
      <w:rPr>
        <w:rFonts w:ascii="Symbol" w:hAnsi="Symbol" w:cs="Symbol" w:hint="default"/>
        <w:lang w:val="en-US" w:eastAsia="en-US" w:bidi="en-US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29" w:hanging="170"/>
      </w:pPr>
      <w:rPr>
        <w:rFonts w:ascii="Symbol" w:hAnsi="Symbol" w:cs="Symbol" w:hint="default"/>
        <w:lang w:val="en-US" w:eastAsia="en-US" w:bidi="en-US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34" w:hanging="170"/>
      </w:pPr>
      <w:rPr>
        <w:rFonts w:ascii="Symbol" w:hAnsi="Symbol" w:cs="Symbol" w:hint="default"/>
        <w:lang w:val="en-US" w:eastAsia="en-US" w:bidi="en-US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39" w:hanging="170"/>
      </w:pPr>
      <w:rPr>
        <w:rFonts w:ascii="Symbol" w:hAnsi="Symbol" w:cs="Symbol" w:hint="default"/>
        <w:lang w:val="en-US" w:eastAsia="en-US" w:bidi="en-US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43" w:hanging="170"/>
      </w:pPr>
      <w:rPr>
        <w:rFonts w:ascii="Symbol" w:hAnsi="Symbol" w:cs="Symbol" w:hint="default"/>
        <w:lang w:val="en-US" w:eastAsia="en-US" w:bidi="en-US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8" w:hanging="170"/>
      </w:pPr>
      <w:rPr>
        <w:rFonts w:ascii="Symbol" w:hAnsi="Symbol" w:cs="Symbol" w:hint="default"/>
        <w:lang w:val="en-US" w:eastAsia="en-US" w:bidi="en-US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53" w:hanging="170"/>
      </w:pPr>
      <w:rPr>
        <w:rFonts w:ascii="Symbol" w:hAnsi="Symbol" w:cs="Symbol" w:hint="default"/>
        <w:lang w:val="en-US" w:eastAsia="en-US" w:bidi="en-US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58" w:hanging="170"/>
      </w:pPr>
      <w:rPr>
        <w:rFonts w:ascii="Symbol" w:hAnsi="Symbol" w:cs="Symbol" w:hint="default"/>
        <w:lang w:val="en-US" w:eastAsia="en-US" w:bidi="en-US"/>
      </w:rPr>
    </w:lvl>
  </w:abstractNum>
  <w:abstractNum w:abstractNumId="30">
    <w:lvl w:ilvl="0">
      <w:numFmt w:val="bullet"/>
      <w:lvlText w:val="•"/>
      <w:lvlJc w:val="left"/>
      <w:pPr>
        <w:tabs>
          <w:tab w:val="num" w:pos="0"/>
        </w:tabs>
        <w:ind w:left="226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24" w:hanging="170"/>
      </w:pPr>
      <w:rPr>
        <w:rFonts w:ascii="Symbol" w:hAnsi="Symbol" w:cs="Symbol" w:hint="default"/>
        <w:lang w:val="en-US" w:eastAsia="en-US" w:bidi="en-US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29" w:hanging="170"/>
      </w:pPr>
      <w:rPr>
        <w:rFonts w:ascii="Symbol" w:hAnsi="Symbol" w:cs="Symbol" w:hint="default"/>
        <w:lang w:val="en-US" w:eastAsia="en-US" w:bidi="en-US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34" w:hanging="170"/>
      </w:pPr>
      <w:rPr>
        <w:rFonts w:ascii="Symbol" w:hAnsi="Symbol" w:cs="Symbol" w:hint="default"/>
        <w:lang w:val="en-US" w:eastAsia="en-US" w:bidi="en-US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39" w:hanging="170"/>
      </w:pPr>
      <w:rPr>
        <w:rFonts w:ascii="Symbol" w:hAnsi="Symbol" w:cs="Symbol" w:hint="default"/>
        <w:lang w:val="en-US" w:eastAsia="en-US" w:bidi="en-US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43" w:hanging="170"/>
      </w:pPr>
      <w:rPr>
        <w:rFonts w:ascii="Symbol" w:hAnsi="Symbol" w:cs="Symbol" w:hint="default"/>
        <w:lang w:val="en-US" w:eastAsia="en-US" w:bidi="en-US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8" w:hanging="170"/>
      </w:pPr>
      <w:rPr>
        <w:rFonts w:ascii="Symbol" w:hAnsi="Symbol" w:cs="Symbol" w:hint="default"/>
        <w:lang w:val="en-US" w:eastAsia="en-US" w:bidi="en-US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53" w:hanging="170"/>
      </w:pPr>
      <w:rPr>
        <w:rFonts w:ascii="Symbol" w:hAnsi="Symbol" w:cs="Symbol" w:hint="default"/>
        <w:lang w:val="en-US" w:eastAsia="en-US" w:bidi="en-US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58" w:hanging="170"/>
      </w:pPr>
      <w:rPr>
        <w:rFonts w:ascii="Symbol" w:hAnsi="Symbol" w:cs="Symbol" w:hint="default"/>
        <w:lang w:val="en-US" w:eastAsia="en-US" w:bidi="en-US"/>
      </w:rPr>
    </w:lvl>
  </w:abstractNum>
  <w:abstractNum w:abstractNumId="31">
    <w:lvl w:ilvl="0">
      <w:numFmt w:val="bullet"/>
      <w:lvlText w:val="•"/>
      <w:lvlJc w:val="left"/>
      <w:pPr>
        <w:tabs>
          <w:tab w:val="num" w:pos="0"/>
        </w:tabs>
        <w:ind w:left="225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509" w:hanging="170"/>
      </w:pPr>
      <w:rPr>
        <w:rFonts w:ascii="Symbol" w:hAnsi="Symbol" w:cs="Symbol" w:hint="default"/>
        <w:lang w:val="en-US" w:eastAsia="en-US" w:bidi="en-US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799" w:hanging="170"/>
      </w:pPr>
      <w:rPr>
        <w:rFonts w:ascii="Symbol" w:hAnsi="Symbol" w:cs="Symbol" w:hint="default"/>
        <w:lang w:val="en-US" w:eastAsia="en-US" w:bidi="en-US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089" w:hanging="170"/>
      </w:pPr>
      <w:rPr>
        <w:rFonts w:ascii="Symbol" w:hAnsi="Symbol" w:cs="Symbol" w:hint="default"/>
        <w:lang w:val="en-US" w:eastAsia="en-US" w:bidi="en-US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379" w:hanging="170"/>
      </w:pPr>
      <w:rPr>
        <w:rFonts w:ascii="Symbol" w:hAnsi="Symbol" w:cs="Symbol" w:hint="default"/>
        <w:lang w:val="en-US" w:eastAsia="en-US" w:bidi="en-US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669" w:hanging="170"/>
      </w:pPr>
      <w:rPr>
        <w:rFonts w:ascii="Symbol" w:hAnsi="Symbol" w:cs="Symbol" w:hint="default"/>
        <w:lang w:val="en-US" w:eastAsia="en-US" w:bidi="en-US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958" w:hanging="170"/>
      </w:pPr>
      <w:rPr>
        <w:rFonts w:ascii="Symbol" w:hAnsi="Symbol" w:cs="Symbol" w:hint="default"/>
        <w:lang w:val="en-US" w:eastAsia="en-US" w:bidi="en-US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2248" w:hanging="170"/>
      </w:pPr>
      <w:rPr>
        <w:rFonts w:ascii="Symbol" w:hAnsi="Symbol" w:cs="Symbol" w:hint="default"/>
        <w:lang w:val="en-US" w:eastAsia="en-US" w:bidi="en-US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2538" w:hanging="170"/>
      </w:pPr>
      <w:rPr>
        <w:rFonts w:ascii="Symbol" w:hAnsi="Symbol" w:cs="Symbol" w:hint="default"/>
        <w:lang w:val="en-US" w:eastAsia="en-US" w:bidi="en-US"/>
      </w:rPr>
    </w:lvl>
  </w:abstractNum>
  <w:abstractNum w:abstractNumId="32">
    <w:lvl w:ilvl="0">
      <w:numFmt w:val="bullet"/>
      <w:lvlText w:val="•"/>
      <w:lvlJc w:val="left"/>
      <w:pPr>
        <w:tabs>
          <w:tab w:val="num" w:pos="0"/>
        </w:tabs>
        <w:ind w:left="221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508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79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086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37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664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95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2241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2530" w:hanging="170"/>
      </w:pPr>
      <w:rPr>
        <w:rFonts w:ascii="Symbol" w:hAnsi="Symbol" w:cs="Symbol" w:hint="default"/>
      </w:rPr>
    </w:lvl>
  </w:abstractNum>
  <w:abstractNum w:abstractNumId="33"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34"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35">
    <w:lvl w:ilvl="0">
      <w:start w:val="1"/>
      <w:numFmt w:val="bullet"/>
      <w:lvlText w:val=""/>
      <w:lvlJc w:val="left"/>
      <w:pPr>
        <w:tabs>
          <w:tab w:val="num" w:pos="708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36">
    <w:lvl w:ilvl="0">
      <w:start w:val="1"/>
      <w:numFmt w:val="bullet"/>
      <w:lvlText w:val=""/>
      <w:lvlJc w:val="left"/>
      <w:pPr>
        <w:tabs>
          <w:tab w:val="num" w:pos="1140"/>
        </w:tabs>
        <w:ind w:left="114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37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38">
    <w:lvl w:ilvl="0">
      <w:numFmt w:val="bullet"/>
      <w:lvlText w:val="•"/>
      <w:lvlJc w:val="left"/>
      <w:pPr>
        <w:tabs>
          <w:tab w:val="num" w:pos="0"/>
        </w:tabs>
        <w:ind w:left="221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50" w:hanging="170"/>
      </w:pPr>
      <w:rPr>
        <w:rFonts w:ascii="Symbol" w:hAnsi="Symbol" w:cs="Symbol" w:hint="default"/>
      </w:rPr>
    </w:lvl>
  </w:abstractNum>
  <w:abstractNum w:abstractNumId="39">
    <w:lvl w:ilvl="0">
      <w:numFmt w:val="bullet"/>
      <w:lvlText w:val="•"/>
      <w:lvlJc w:val="left"/>
      <w:pPr>
        <w:tabs>
          <w:tab w:val="num" w:pos="0"/>
        </w:tabs>
        <w:ind w:left="221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50" w:hanging="170"/>
      </w:pPr>
      <w:rPr>
        <w:rFonts w:ascii="Symbol" w:hAnsi="Symbol" w:cs="Symbol" w:hint="default"/>
      </w:rPr>
    </w:lvl>
  </w:abstractNum>
  <w:abstractNum w:abstractNumId="40">
    <w:lvl w:ilvl="0">
      <w:numFmt w:val="bullet"/>
      <w:lvlText w:val="•"/>
      <w:lvlJc w:val="left"/>
      <w:pPr>
        <w:tabs>
          <w:tab w:val="num" w:pos="0"/>
        </w:tabs>
        <w:ind w:left="221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300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51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735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952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170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387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05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22" w:hanging="170"/>
      </w:pPr>
      <w:rPr>
        <w:rFonts w:ascii="Symbol" w:hAnsi="Symbol" w:cs="Symbol" w:hint="default"/>
      </w:rPr>
    </w:lvl>
  </w:abstractNum>
  <w:abstractNum w:abstractNumId="41">
    <w:lvl w:ilvl="0">
      <w:numFmt w:val="bullet"/>
      <w:lvlText w:val="•"/>
      <w:lvlJc w:val="left"/>
      <w:pPr>
        <w:tabs>
          <w:tab w:val="num" w:pos="0"/>
        </w:tabs>
        <w:ind w:left="220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50" w:hanging="170"/>
      </w:pPr>
      <w:rPr>
        <w:rFonts w:ascii="Symbol" w:hAnsi="Symbol" w:cs="Symbol" w:hint="default"/>
      </w:rPr>
    </w:lvl>
  </w:abstractNum>
  <w:abstractNum w:abstractNumId="42">
    <w:lvl w:ilvl="0">
      <w:numFmt w:val="bullet"/>
      <w:lvlText w:val="•"/>
      <w:lvlJc w:val="left"/>
      <w:pPr>
        <w:tabs>
          <w:tab w:val="num" w:pos="0"/>
        </w:tabs>
        <w:ind w:left="220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50" w:hanging="170"/>
      </w:pPr>
      <w:rPr>
        <w:rFonts w:ascii="Symbol" w:hAnsi="Symbol" w:cs="Symbol" w:hint="default"/>
      </w:rPr>
    </w:lvl>
  </w:abstractNum>
  <w:abstractNum w:abstractNumId="43">
    <w:lvl w:ilvl="0">
      <w:numFmt w:val="bullet"/>
      <w:lvlText w:val="•"/>
      <w:lvlJc w:val="left"/>
      <w:pPr>
        <w:tabs>
          <w:tab w:val="num" w:pos="0"/>
        </w:tabs>
        <w:ind w:left="221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50" w:hanging="170"/>
      </w:pPr>
      <w:rPr>
        <w:rFonts w:ascii="Symbol" w:hAnsi="Symbol" w:cs="Symbol" w:hint="default"/>
      </w:rPr>
    </w:lvl>
  </w:abstractNum>
  <w:abstractNum w:abstractNumId="44">
    <w:lvl w:ilvl="0">
      <w:numFmt w:val="bullet"/>
      <w:lvlText w:val="•"/>
      <w:lvlJc w:val="left"/>
      <w:pPr>
        <w:tabs>
          <w:tab w:val="num" w:pos="0"/>
        </w:tabs>
        <w:ind w:left="221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50" w:hanging="170"/>
      </w:pPr>
      <w:rPr>
        <w:rFonts w:ascii="Symbol" w:hAnsi="Symbol" w:cs="Symbol" w:hint="default"/>
      </w:rPr>
    </w:lvl>
  </w:abstractNum>
  <w:abstractNum w:abstractNumId="45">
    <w:lvl w:ilvl="0">
      <w:numFmt w:val="bullet"/>
      <w:lvlText w:val="•"/>
      <w:lvlJc w:val="left"/>
      <w:pPr>
        <w:tabs>
          <w:tab w:val="num" w:pos="0"/>
        </w:tabs>
        <w:ind w:left="221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50" w:hanging="170"/>
      </w:pPr>
      <w:rPr>
        <w:rFonts w:ascii="Symbol" w:hAnsi="Symbol" w:cs="Symbol" w:hint="default"/>
      </w:rPr>
    </w:lvl>
  </w:abstractNum>
  <w:abstractNum w:abstractNumId="46">
    <w:lvl w:ilvl="0">
      <w:numFmt w:val="bullet"/>
      <w:lvlText w:val="•"/>
      <w:lvlJc w:val="left"/>
      <w:pPr>
        <w:tabs>
          <w:tab w:val="num" w:pos="0"/>
        </w:tabs>
        <w:ind w:left="221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50" w:hanging="170"/>
      </w:pPr>
      <w:rPr>
        <w:rFonts w:ascii="Symbol" w:hAnsi="Symbol" w:cs="Symbol" w:hint="default"/>
      </w:rPr>
    </w:lvl>
  </w:abstractNum>
  <w:abstractNum w:abstractNumId="47">
    <w:lvl w:ilvl="0">
      <w:numFmt w:val="bullet"/>
      <w:lvlText w:val="•"/>
      <w:lvlJc w:val="left"/>
      <w:pPr>
        <w:tabs>
          <w:tab w:val="num" w:pos="0"/>
        </w:tabs>
        <w:ind w:left="221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50" w:hanging="170"/>
      </w:pPr>
      <w:rPr>
        <w:rFonts w:ascii="Symbol" w:hAnsi="Symbol" w:cs="Symbol" w:hint="default"/>
      </w:rPr>
    </w:lvl>
  </w:abstractNum>
  <w:abstractNum w:abstractNumId="48">
    <w:lvl w:ilvl="0">
      <w:numFmt w:val="bullet"/>
      <w:lvlText w:val="•"/>
      <w:lvlJc w:val="left"/>
      <w:pPr>
        <w:tabs>
          <w:tab w:val="num" w:pos="0"/>
        </w:tabs>
        <w:ind w:left="220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50" w:hanging="170"/>
      </w:pPr>
      <w:rPr>
        <w:rFonts w:ascii="Symbol" w:hAnsi="Symbol" w:cs="Symbol" w:hint="default"/>
      </w:rPr>
    </w:lvl>
  </w:abstractNum>
  <w:abstractNum w:abstractNumId="49">
    <w:lvl w:ilvl="0">
      <w:numFmt w:val="bullet"/>
      <w:lvlText w:val="•"/>
      <w:lvlJc w:val="left"/>
      <w:pPr>
        <w:tabs>
          <w:tab w:val="num" w:pos="0"/>
        </w:tabs>
        <w:ind w:left="220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360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570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78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992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03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14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25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36" w:hanging="170"/>
      </w:pPr>
      <w:rPr>
        <w:rFonts w:ascii="Symbol" w:hAnsi="Symbol" w:cs="Symbol" w:hint="default"/>
      </w:rPr>
    </w:lvl>
  </w:abstractNum>
  <w:abstractNum w:abstractNumId="50">
    <w:lvl w:ilvl="0">
      <w:numFmt w:val="bullet"/>
      <w:lvlText w:val="•"/>
      <w:lvlJc w:val="left"/>
      <w:pPr>
        <w:tabs>
          <w:tab w:val="num" w:pos="0"/>
        </w:tabs>
        <w:ind w:left="220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300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51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735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952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170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387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05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22" w:hanging="170"/>
      </w:pPr>
      <w:rPr>
        <w:rFonts w:ascii="Symbol" w:hAnsi="Symbol" w:cs="Symbol" w:hint="default"/>
      </w:rPr>
    </w:lvl>
  </w:abstractNum>
  <w:abstractNum w:abstractNumId="51">
    <w:lvl w:ilvl="0">
      <w:numFmt w:val="bullet"/>
      <w:lvlText w:val="•"/>
      <w:lvlJc w:val="left"/>
      <w:pPr>
        <w:tabs>
          <w:tab w:val="num" w:pos="0"/>
        </w:tabs>
        <w:ind w:left="221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50" w:hanging="170"/>
      </w:pPr>
      <w:rPr>
        <w:rFonts w:ascii="Symbol" w:hAnsi="Symbol" w:cs="Symbol" w:hint="default"/>
      </w:rPr>
    </w:lvl>
  </w:abstractNum>
  <w:abstractNum w:abstractNumId="52">
    <w:lvl w:ilvl="0">
      <w:numFmt w:val="bullet"/>
      <w:lvlText w:val="•"/>
      <w:lvlJc w:val="left"/>
      <w:pPr>
        <w:tabs>
          <w:tab w:val="num" w:pos="0"/>
        </w:tabs>
        <w:ind w:left="220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50" w:hanging="170"/>
      </w:pPr>
      <w:rPr>
        <w:rFonts w:ascii="Symbol" w:hAnsi="Symbol" w:cs="Symbol" w:hint="default"/>
      </w:rPr>
    </w:lvl>
  </w:abstractNum>
  <w:abstractNum w:abstractNumId="53">
    <w:lvl w:ilvl="0">
      <w:numFmt w:val="bullet"/>
      <w:lvlText w:val="•"/>
      <w:lvlJc w:val="left"/>
      <w:pPr>
        <w:tabs>
          <w:tab w:val="num" w:pos="0"/>
        </w:tabs>
        <w:ind w:left="220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50" w:hanging="170"/>
      </w:pPr>
      <w:rPr>
        <w:rFonts w:ascii="Symbol" w:hAnsi="Symbol" w:cs="Symbol" w:hint="default"/>
      </w:rPr>
    </w:lvl>
  </w:abstractNum>
  <w:abstractNum w:abstractNumId="54">
    <w:lvl w:ilvl="0">
      <w:numFmt w:val="bullet"/>
      <w:lvlText w:val="•"/>
      <w:lvlJc w:val="left"/>
      <w:pPr>
        <w:tabs>
          <w:tab w:val="num" w:pos="0"/>
        </w:tabs>
        <w:ind w:left="220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300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51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735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952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170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387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05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22" w:hanging="170"/>
      </w:pPr>
      <w:rPr>
        <w:rFonts w:ascii="Symbol" w:hAnsi="Symbol" w:cs="Symbol" w:hint="default"/>
      </w:rPr>
    </w:lvl>
  </w:abstractNum>
  <w:abstractNum w:abstractNumId="55">
    <w:lvl w:ilvl="0">
      <w:numFmt w:val="bullet"/>
      <w:lvlText w:val="•"/>
      <w:lvlJc w:val="left"/>
      <w:pPr>
        <w:tabs>
          <w:tab w:val="num" w:pos="0"/>
        </w:tabs>
        <w:ind w:left="220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50" w:hanging="170"/>
      </w:pPr>
      <w:rPr>
        <w:rFonts w:ascii="Symbol" w:hAnsi="Symbol" w:cs="Symbol" w:hint="default"/>
      </w:rPr>
    </w:lvl>
  </w:abstractNum>
  <w:abstractNum w:abstractNumId="56">
    <w:lvl w:ilvl="0">
      <w:numFmt w:val="bullet"/>
      <w:lvlText w:val="•"/>
      <w:lvlJc w:val="left"/>
      <w:pPr>
        <w:tabs>
          <w:tab w:val="num" w:pos="0"/>
        </w:tabs>
        <w:ind w:left="220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50" w:hanging="170"/>
      </w:pPr>
      <w:rPr>
        <w:rFonts w:ascii="Symbol" w:hAnsi="Symbol" w:cs="Symbol" w:hint="default"/>
      </w:rPr>
    </w:lvl>
  </w:abstractNum>
  <w:abstractNum w:abstractNumId="57">
    <w:lvl w:ilvl="0">
      <w:numFmt w:val="bullet"/>
      <w:lvlText w:val="•"/>
      <w:lvlJc w:val="left"/>
      <w:pPr>
        <w:tabs>
          <w:tab w:val="num" w:pos="0"/>
        </w:tabs>
        <w:ind w:left="220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50" w:hanging="170"/>
      </w:pPr>
      <w:rPr>
        <w:rFonts w:ascii="Symbol" w:hAnsi="Symbol" w:cs="Symbol" w:hint="default"/>
      </w:rPr>
    </w:lvl>
  </w:abstractNum>
  <w:abstractNum w:abstractNumId="58">
    <w:lvl w:ilvl="0">
      <w:numFmt w:val="bullet"/>
      <w:lvlText w:val="•"/>
      <w:lvlJc w:val="left"/>
      <w:pPr>
        <w:tabs>
          <w:tab w:val="num" w:pos="0"/>
        </w:tabs>
        <w:ind w:left="219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50" w:hanging="170"/>
      </w:pPr>
      <w:rPr>
        <w:rFonts w:ascii="Symbol" w:hAnsi="Symbol" w:cs="Symbol" w:hint="default"/>
      </w:rPr>
    </w:lvl>
  </w:abstractNum>
  <w:abstractNum w:abstractNumId="59">
    <w:lvl w:ilvl="0">
      <w:numFmt w:val="bullet"/>
      <w:lvlText w:val="•"/>
      <w:lvlJc w:val="left"/>
      <w:pPr>
        <w:tabs>
          <w:tab w:val="num" w:pos="0"/>
        </w:tabs>
        <w:ind w:left="219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30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34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37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1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44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48" w:hanging="170"/>
      </w:pPr>
      <w:rPr>
        <w:rFonts w:ascii="Symbol" w:hAnsi="Symbol" w:cs="Symbol" w:hint="default"/>
      </w:rPr>
    </w:lvl>
  </w:abstractNum>
  <w:abstractNum w:abstractNumId="60">
    <w:lvl w:ilvl="0">
      <w:numFmt w:val="bullet"/>
      <w:lvlText w:val="•"/>
      <w:lvlJc w:val="left"/>
      <w:pPr>
        <w:tabs>
          <w:tab w:val="num" w:pos="0"/>
        </w:tabs>
        <w:ind w:left="221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50" w:hanging="170"/>
      </w:pPr>
      <w:rPr>
        <w:rFonts w:ascii="Symbol" w:hAnsi="Symbol" w:cs="Symbol" w:hint="default"/>
      </w:rPr>
    </w:lvl>
  </w:abstractNum>
  <w:abstractNum w:abstractNumId="61">
    <w:lvl w:ilvl="0">
      <w:numFmt w:val="bullet"/>
      <w:lvlText w:val="•"/>
      <w:lvlJc w:val="left"/>
      <w:pPr>
        <w:tabs>
          <w:tab w:val="num" w:pos="0"/>
        </w:tabs>
        <w:ind w:left="221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300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51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735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952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170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387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05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22" w:hanging="170"/>
      </w:pPr>
      <w:rPr>
        <w:rFonts w:ascii="Symbol" w:hAnsi="Symbol" w:cs="Symbol" w:hint="default"/>
      </w:rPr>
    </w:lvl>
  </w:abstractNum>
  <w:abstractNum w:abstractNumId="62">
    <w:lvl w:ilvl="0">
      <w:numFmt w:val="bullet"/>
      <w:lvlText w:val="•"/>
      <w:lvlJc w:val="left"/>
      <w:pPr>
        <w:tabs>
          <w:tab w:val="num" w:pos="0"/>
        </w:tabs>
        <w:ind w:left="221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50" w:hanging="170"/>
      </w:pPr>
      <w:rPr>
        <w:rFonts w:ascii="Symbol" w:hAnsi="Symbol" w:cs="Symbol" w:hint="default"/>
      </w:rPr>
    </w:lvl>
  </w:abstractNum>
  <w:abstractNum w:abstractNumId="63">
    <w:lvl w:ilvl="0">
      <w:numFmt w:val="bullet"/>
      <w:lvlText w:val="•"/>
      <w:lvlJc w:val="left"/>
      <w:pPr>
        <w:tabs>
          <w:tab w:val="num" w:pos="0"/>
        </w:tabs>
        <w:ind w:left="221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50" w:hanging="170"/>
      </w:pPr>
      <w:rPr>
        <w:rFonts w:ascii="Symbol" w:hAnsi="Symbol" w:cs="Symbol" w:hint="default"/>
      </w:rPr>
    </w:lvl>
  </w:abstractNum>
  <w:abstractNum w:abstractNumId="64">
    <w:lvl w:ilvl="0">
      <w:numFmt w:val="bullet"/>
      <w:lvlText w:val="•"/>
      <w:lvlJc w:val="left"/>
      <w:pPr>
        <w:tabs>
          <w:tab w:val="num" w:pos="0"/>
        </w:tabs>
        <w:ind w:left="221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300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51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735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952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170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387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05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22" w:hanging="170"/>
      </w:pPr>
      <w:rPr>
        <w:rFonts w:ascii="Symbol" w:hAnsi="Symbol" w:cs="Symbol" w:hint="default"/>
      </w:rPr>
    </w:lvl>
  </w:abstractNum>
  <w:abstractNum w:abstractNumId="65">
    <w:lvl w:ilvl="0">
      <w:numFmt w:val="bullet"/>
      <w:lvlText w:val="•"/>
      <w:lvlJc w:val="left"/>
      <w:pPr>
        <w:tabs>
          <w:tab w:val="num" w:pos="0"/>
        </w:tabs>
        <w:ind w:left="221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50" w:hanging="170"/>
      </w:pPr>
      <w:rPr>
        <w:rFonts w:ascii="Symbol" w:hAnsi="Symbol" w:cs="Symbol" w:hint="default"/>
      </w:rPr>
    </w:lvl>
  </w:abstractNum>
  <w:abstractNum w:abstractNumId="66">
    <w:lvl w:ilvl="0">
      <w:numFmt w:val="bullet"/>
      <w:lvlText w:val="•"/>
      <w:lvlJc w:val="left"/>
      <w:pPr>
        <w:tabs>
          <w:tab w:val="num" w:pos="0"/>
        </w:tabs>
        <w:ind w:left="220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300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51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735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952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170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387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05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22" w:hanging="170"/>
      </w:pPr>
      <w:rPr>
        <w:rFonts w:ascii="Symbol" w:hAnsi="Symbol" w:cs="Symbol" w:hint="default"/>
      </w:rPr>
    </w:lvl>
  </w:abstractNum>
  <w:abstractNum w:abstractNumId="67">
    <w:lvl w:ilvl="0">
      <w:numFmt w:val="bullet"/>
      <w:lvlText w:val="•"/>
      <w:lvlJc w:val="left"/>
      <w:pPr>
        <w:tabs>
          <w:tab w:val="num" w:pos="0"/>
        </w:tabs>
        <w:ind w:left="221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50" w:hanging="170"/>
      </w:pPr>
      <w:rPr>
        <w:rFonts w:ascii="Symbol" w:hAnsi="Symbol" w:cs="Symbol" w:hint="default"/>
      </w:rPr>
    </w:lvl>
  </w:abstractNum>
  <w:abstractNum w:abstractNumId="68">
    <w:lvl w:ilvl="0">
      <w:numFmt w:val="bullet"/>
      <w:lvlText w:val="•"/>
      <w:lvlJc w:val="left"/>
      <w:pPr>
        <w:tabs>
          <w:tab w:val="num" w:pos="0"/>
        </w:tabs>
        <w:ind w:left="221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50" w:hanging="170"/>
      </w:pPr>
      <w:rPr>
        <w:rFonts w:ascii="Symbol" w:hAnsi="Symbol" w:cs="Symbol" w:hint="default"/>
      </w:rPr>
    </w:lvl>
  </w:abstractNum>
  <w:abstractNum w:abstractNumId="69">
    <w:lvl w:ilvl="0">
      <w:numFmt w:val="bullet"/>
      <w:lvlText w:val="•"/>
      <w:lvlJc w:val="left"/>
      <w:pPr>
        <w:tabs>
          <w:tab w:val="num" w:pos="0"/>
        </w:tabs>
        <w:ind w:left="221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300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51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735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952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170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387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05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22" w:hanging="170"/>
      </w:pPr>
      <w:rPr>
        <w:rFonts w:ascii="Symbol" w:hAnsi="Symbol" w:cs="Symbol" w:hint="default"/>
      </w:rPr>
    </w:lvl>
  </w:abstractNum>
  <w:abstractNum w:abstractNumId="70">
    <w:lvl w:ilvl="0">
      <w:numFmt w:val="bullet"/>
      <w:lvlText w:val="•"/>
      <w:lvlJc w:val="left"/>
      <w:pPr>
        <w:tabs>
          <w:tab w:val="num" w:pos="0"/>
        </w:tabs>
        <w:ind w:left="221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50" w:hanging="170"/>
      </w:pPr>
      <w:rPr>
        <w:rFonts w:ascii="Symbol" w:hAnsi="Symbol" w:cs="Symbol" w:hint="default"/>
      </w:rPr>
    </w:lvl>
  </w:abstractNum>
  <w:abstractNum w:abstractNumId="71">
    <w:lvl w:ilvl="0">
      <w:numFmt w:val="bullet"/>
      <w:lvlText w:val="•"/>
      <w:lvlJc w:val="left"/>
      <w:pPr>
        <w:tabs>
          <w:tab w:val="num" w:pos="0"/>
        </w:tabs>
        <w:ind w:left="221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300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51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735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952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170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387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05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22" w:hanging="170"/>
      </w:pPr>
      <w:rPr>
        <w:rFonts w:ascii="Symbol" w:hAnsi="Symbol" w:cs="Symbol" w:hint="default"/>
      </w:rPr>
    </w:lvl>
  </w:abstractNum>
  <w:abstractNum w:abstractNumId="72">
    <w:lvl w:ilvl="0">
      <w:numFmt w:val="bullet"/>
      <w:lvlText w:val="•"/>
      <w:lvlJc w:val="left"/>
      <w:pPr>
        <w:tabs>
          <w:tab w:val="num" w:pos="0"/>
        </w:tabs>
        <w:ind w:left="218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30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34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37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1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44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48" w:hanging="170"/>
      </w:pPr>
      <w:rPr>
        <w:rFonts w:ascii="Symbol" w:hAnsi="Symbol" w:cs="Symbol" w:hint="default"/>
      </w:rPr>
    </w:lvl>
  </w:abstractNum>
  <w:abstractNum w:abstractNumId="73">
    <w:lvl w:ilvl="0">
      <w:numFmt w:val="bullet"/>
      <w:lvlText w:val="•"/>
      <w:lvlJc w:val="left"/>
      <w:pPr>
        <w:tabs>
          <w:tab w:val="num" w:pos="0"/>
        </w:tabs>
        <w:ind w:left="221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50" w:hanging="170"/>
      </w:pPr>
      <w:rPr>
        <w:rFonts w:ascii="Symbol" w:hAnsi="Symbol" w:cs="Symbol" w:hint="default"/>
      </w:rPr>
    </w:lvl>
  </w:abstractNum>
  <w:abstractNum w:abstractNumId="74">
    <w:lvl w:ilvl="0">
      <w:numFmt w:val="bullet"/>
      <w:lvlText w:val="•"/>
      <w:lvlJc w:val="left"/>
      <w:pPr>
        <w:tabs>
          <w:tab w:val="num" w:pos="0"/>
        </w:tabs>
        <w:ind w:left="220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50" w:hanging="170"/>
      </w:pPr>
      <w:rPr>
        <w:rFonts w:ascii="Symbol" w:hAnsi="Symbol" w:cs="Symbol" w:hint="default"/>
      </w:rPr>
    </w:lvl>
  </w:abstractNum>
  <w:abstractNum w:abstractNumId="75">
    <w:lvl w:ilvl="0">
      <w:numFmt w:val="bullet"/>
      <w:lvlText w:val="•"/>
      <w:lvlJc w:val="left"/>
      <w:pPr>
        <w:tabs>
          <w:tab w:val="num" w:pos="0"/>
        </w:tabs>
        <w:ind w:left="220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300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51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735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952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170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387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05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22" w:hanging="170"/>
      </w:pPr>
      <w:rPr>
        <w:rFonts w:ascii="Symbol" w:hAnsi="Symbol" w:cs="Symbol" w:hint="default"/>
      </w:rPr>
    </w:lvl>
  </w:abstractNum>
  <w:abstractNum w:abstractNumId="76">
    <w:lvl w:ilvl="0">
      <w:numFmt w:val="bullet"/>
      <w:lvlText w:val="•"/>
      <w:lvlJc w:val="left"/>
      <w:pPr>
        <w:tabs>
          <w:tab w:val="num" w:pos="0"/>
        </w:tabs>
        <w:ind w:left="220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50" w:hanging="170"/>
      </w:pPr>
      <w:rPr>
        <w:rFonts w:ascii="Symbol" w:hAnsi="Symbol" w:cs="Symbol" w:hint="default"/>
      </w:rPr>
    </w:lvl>
  </w:abstractNum>
  <w:abstractNum w:abstractNumId="77">
    <w:lvl w:ilvl="0">
      <w:numFmt w:val="bullet"/>
      <w:lvlText w:val="•"/>
      <w:lvlJc w:val="left"/>
      <w:pPr>
        <w:tabs>
          <w:tab w:val="num" w:pos="0"/>
        </w:tabs>
        <w:ind w:left="221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50" w:hanging="170"/>
      </w:pPr>
      <w:rPr>
        <w:rFonts w:ascii="Symbol" w:hAnsi="Symbol" w:cs="Symbol" w:hint="default"/>
      </w:rPr>
    </w:lvl>
  </w:abstractNum>
  <w:abstractNum w:abstractNumId="78">
    <w:lvl w:ilvl="0">
      <w:numFmt w:val="bullet"/>
      <w:lvlText w:val="•"/>
      <w:lvlJc w:val="left"/>
      <w:pPr>
        <w:tabs>
          <w:tab w:val="num" w:pos="0"/>
        </w:tabs>
        <w:ind w:left="221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50" w:hanging="170"/>
      </w:pPr>
      <w:rPr>
        <w:rFonts w:ascii="Symbol" w:hAnsi="Symbol" w:cs="Symbol" w:hint="default"/>
      </w:rPr>
    </w:lvl>
  </w:abstractNum>
  <w:abstractNum w:abstractNumId="79">
    <w:lvl w:ilvl="0">
      <w:numFmt w:val="bullet"/>
      <w:lvlText w:val="•"/>
      <w:lvlJc w:val="left"/>
      <w:pPr>
        <w:tabs>
          <w:tab w:val="num" w:pos="0"/>
        </w:tabs>
        <w:ind w:left="221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50" w:hanging="170"/>
      </w:pPr>
      <w:rPr>
        <w:rFonts w:ascii="Symbol" w:hAnsi="Symbol" w:cs="Symbol" w:hint="default"/>
      </w:rPr>
    </w:lvl>
  </w:abstractNum>
  <w:abstractNum w:abstractNumId="80">
    <w:lvl w:ilvl="0">
      <w:numFmt w:val="bullet"/>
      <w:lvlText w:val="•"/>
      <w:lvlJc w:val="left"/>
      <w:pPr>
        <w:tabs>
          <w:tab w:val="num" w:pos="0"/>
        </w:tabs>
        <w:ind w:left="221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50" w:hanging="170"/>
      </w:pPr>
      <w:rPr>
        <w:rFonts w:ascii="Symbol" w:hAnsi="Symbol" w:cs="Symbol" w:hint="default"/>
      </w:rPr>
    </w:lvl>
  </w:abstractNum>
  <w:abstractNum w:abstractNumId="81">
    <w:lvl w:ilvl="0">
      <w:numFmt w:val="bullet"/>
      <w:lvlText w:val="•"/>
      <w:lvlJc w:val="left"/>
      <w:pPr>
        <w:tabs>
          <w:tab w:val="num" w:pos="0"/>
        </w:tabs>
        <w:ind w:left="221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50" w:hanging="170"/>
      </w:pPr>
      <w:rPr>
        <w:rFonts w:ascii="Symbol" w:hAnsi="Symbol" w:cs="Symbol" w:hint="default"/>
      </w:rPr>
    </w:lvl>
  </w:abstractNum>
  <w:abstractNum w:abstractNumId="82">
    <w:lvl w:ilvl="0">
      <w:numFmt w:val="bullet"/>
      <w:lvlText w:val="•"/>
      <w:lvlJc w:val="left"/>
      <w:pPr>
        <w:tabs>
          <w:tab w:val="num" w:pos="0"/>
        </w:tabs>
        <w:ind w:left="221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50" w:hanging="170"/>
      </w:pPr>
      <w:rPr>
        <w:rFonts w:ascii="Symbol" w:hAnsi="Symbol" w:cs="Symbol" w:hint="default"/>
      </w:rPr>
    </w:lvl>
  </w:abstractNum>
  <w:abstractNum w:abstractNumId="83">
    <w:lvl w:ilvl="0">
      <w:numFmt w:val="bullet"/>
      <w:lvlText w:val="•"/>
      <w:lvlJc w:val="left"/>
      <w:pPr>
        <w:tabs>
          <w:tab w:val="num" w:pos="0"/>
        </w:tabs>
        <w:ind w:left="221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50" w:hanging="170"/>
      </w:pPr>
      <w:rPr>
        <w:rFonts w:ascii="Symbol" w:hAnsi="Symbol" w:cs="Symbol" w:hint="default"/>
      </w:rPr>
    </w:lvl>
  </w:abstractNum>
  <w:abstractNum w:abstractNumId="84">
    <w:lvl w:ilvl="0">
      <w:numFmt w:val="bullet"/>
      <w:lvlText w:val="•"/>
      <w:lvlJc w:val="left"/>
      <w:pPr>
        <w:tabs>
          <w:tab w:val="num" w:pos="0"/>
        </w:tabs>
        <w:ind w:left="221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50" w:hanging="170"/>
      </w:pPr>
      <w:rPr>
        <w:rFonts w:ascii="Symbol" w:hAnsi="Symbol" w:cs="Symbol" w:hint="default"/>
      </w:rPr>
    </w:lvl>
  </w:abstractNum>
  <w:abstractNum w:abstractNumId="85">
    <w:lvl w:ilvl="0">
      <w:numFmt w:val="bullet"/>
      <w:lvlText w:val="•"/>
      <w:lvlJc w:val="left"/>
      <w:pPr>
        <w:tabs>
          <w:tab w:val="num" w:pos="0"/>
        </w:tabs>
        <w:ind w:left="220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50" w:hanging="170"/>
      </w:pPr>
      <w:rPr>
        <w:rFonts w:ascii="Symbol" w:hAnsi="Symbol" w:cs="Symbol" w:hint="default"/>
      </w:rPr>
    </w:lvl>
  </w:abstractNum>
  <w:abstractNum w:abstractNumId="86">
    <w:lvl w:ilvl="0">
      <w:numFmt w:val="bullet"/>
      <w:lvlText w:val="•"/>
      <w:lvlJc w:val="left"/>
      <w:pPr>
        <w:tabs>
          <w:tab w:val="num" w:pos="0"/>
        </w:tabs>
        <w:ind w:left="220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50" w:hanging="170"/>
      </w:pPr>
      <w:rPr>
        <w:rFonts w:ascii="Symbol" w:hAnsi="Symbol" w:cs="Symbol" w:hint="default"/>
      </w:rPr>
    </w:lvl>
  </w:abstractNum>
  <w:abstractNum w:abstractNumId="87">
    <w:lvl w:ilvl="0">
      <w:numFmt w:val="bullet"/>
      <w:lvlText w:val="•"/>
      <w:lvlJc w:val="left"/>
      <w:pPr>
        <w:tabs>
          <w:tab w:val="num" w:pos="0"/>
        </w:tabs>
        <w:ind w:left="220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50" w:hanging="170"/>
      </w:pPr>
      <w:rPr>
        <w:rFonts w:ascii="Symbol" w:hAnsi="Symbol" w:cs="Symbol" w:hint="default"/>
      </w:rPr>
    </w:lvl>
  </w:abstractNum>
  <w:abstractNum w:abstractNumId="88">
    <w:lvl w:ilvl="0">
      <w:numFmt w:val="bullet"/>
      <w:lvlText w:val="•"/>
      <w:lvlJc w:val="left"/>
      <w:pPr>
        <w:tabs>
          <w:tab w:val="num" w:pos="0"/>
        </w:tabs>
        <w:ind w:left="220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50" w:hanging="170"/>
      </w:pPr>
      <w:rPr>
        <w:rFonts w:ascii="Symbol" w:hAnsi="Symbol" w:cs="Symbol" w:hint="default"/>
      </w:rPr>
    </w:lvl>
  </w:abstractNum>
  <w:abstractNum w:abstractNumId="89">
    <w:lvl w:ilvl="0">
      <w:numFmt w:val="bullet"/>
      <w:lvlText w:val="•"/>
      <w:lvlJc w:val="left"/>
      <w:pPr>
        <w:tabs>
          <w:tab w:val="num" w:pos="0"/>
        </w:tabs>
        <w:ind w:left="220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50" w:hanging="170"/>
      </w:pPr>
      <w:rPr>
        <w:rFonts w:ascii="Symbol" w:hAnsi="Symbol" w:cs="Symbol" w:hint="default"/>
      </w:rPr>
    </w:lvl>
  </w:abstractNum>
  <w:abstractNum w:abstractNumId="90">
    <w:lvl w:ilvl="0">
      <w:numFmt w:val="bullet"/>
      <w:lvlText w:val="•"/>
      <w:lvlJc w:val="left"/>
      <w:pPr>
        <w:tabs>
          <w:tab w:val="num" w:pos="0"/>
        </w:tabs>
        <w:ind w:left="220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50" w:hanging="170"/>
      </w:pPr>
      <w:rPr>
        <w:rFonts w:ascii="Symbol" w:hAnsi="Symbol" w:cs="Symbol" w:hint="default"/>
      </w:rPr>
    </w:lvl>
  </w:abstractNum>
  <w:abstractNum w:abstractNumId="91">
    <w:lvl w:ilvl="0">
      <w:numFmt w:val="bullet"/>
      <w:lvlText w:val="•"/>
      <w:lvlJc w:val="left"/>
      <w:pPr>
        <w:tabs>
          <w:tab w:val="num" w:pos="0"/>
        </w:tabs>
        <w:ind w:left="220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50" w:hanging="170"/>
      </w:pPr>
      <w:rPr>
        <w:rFonts w:ascii="Symbol" w:hAnsi="Symbol" w:cs="Symbol" w:hint="default"/>
      </w:rPr>
    </w:lvl>
  </w:abstractNum>
  <w:abstractNum w:abstractNumId="92">
    <w:lvl w:ilvl="0">
      <w:numFmt w:val="bullet"/>
      <w:lvlText w:val="•"/>
      <w:lvlJc w:val="left"/>
      <w:pPr>
        <w:tabs>
          <w:tab w:val="num" w:pos="0"/>
        </w:tabs>
        <w:ind w:left="220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50" w:hanging="170"/>
      </w:pPr>
      <w:rPr>
        <w:rFonts w:ascii="Symbol" w:hAnsi="Symbol" w:cs="Symbol" w:hint="default"/>
      </w:rPr>
    </w:lvl>
  </w:abstractNum>
  <w:abstractNum w:abstractNumId="93">
    <w:lvl w:ilvl="0">
      <w:numFmt w:val="bullet"/>
      <w:lvlText w:val="•"/>
      <w:lvlJc w:val="left"/>
      <w:pPr>
        <w:tabs>
          <w:tab w:val="num" w:pos="0"/>
        </w:tabs>
        <w:ind w:left="220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300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51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735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952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170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387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05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22" w:hanging="170"/>
      </w:pPr>
      <w:rPr>
        <w:rFonts w:ascii="Symbol" w:hAnsi="Symbol" w:cs="Symbol" w:hint="default"/>
      </w:rPr>
    </w:lvl>
  </w:abstractNum>
  <w:abstractNum w:abstractNumId="94">
    <w:lvl w:ilvl="0">
      <w:numFmt w:val="bullet"/>
      <w:lvlText w:val="•"/>
      <w:lvlJc w:val="left"/>
      <w:pPr>
        <w:tabs>
          <w:tab w:val="num" w:pos="0"/>
        </w:tabs>
        <w:ind w:left="220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50" w:hanging="170"/>
      </w:pPr>
      <w:rPr>
        <w:rFonts w:ascii="Symbol" w:hAnsi="Symbol" w:cs="Symbol" w:hint="default"/>
      </w:rPr>
    </w:lvl>
  </w:abstractNum>
  <w:abstractNum w:abstractNumId="95">
    <w:lvl w:ilvl="0">
      <w:numFmt w:val="bullet"/>
      <w:lvlText w:val="•"/>
      <w:lvlJc w:val="left"/>
      <w:pPr>
        <w:tabs>
          <w:tab w:val="num" w:pos="0"/>
        </w:tabs>
        <w:ind w:left="219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300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51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735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952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170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387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05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22" w:hanging="170"/>
      </w:pPr>
      <w:rPr>
        <w:rFonts w:ascii="Symbol" w:hAnsi="Symbol" w:cs="Symbol" w:hint="default"/>
      </w:rPr>
    </w:lvl>
  </w:abstractNum>
  <w:abstractNum w:abstractNumId="96">
    <w:lvl w:ilvl="0">
      <w:numFmt w:val="bullet"/>
      <w:lvlText w:val="•"/>
      <w:lvlJc w:val="left"/>
      <w:pPr>
        <w:tabs>
          <w:tab w:val="num" w:pos="0"/>
        </w:tabs>
        <w:ind w:left="219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50" w:hanging="170"/>
      </w:pPr>
      <w:rPr>
        <w:rFonts w:ascii="Symbol" w:hAnsi="Symbol" w:cs="Symbol" w:hint="default"/>
      </w:rPr>
    </w:lvl>
  </w:abstractNum>
  <w:abstractNum w:abstractNumId="97">
    <w:lvl w:ilvl="0">
      <w:numFmt w:val="bullet"/>
      <w:lvlText w:val="•"/>
      <w:lvlJc w:val="left"/>
      <w:pPr>
        <w:tabs>
          <w:tab w:val="num" w:pos="0"/>
        </w:tabs>
        <w:ind w:left="219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300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51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735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952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170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387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05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22" w:hanging="170"/>
      </w:pPr>
      <w:rPr>
        <w:rFonts w:ascii="Symbol" w:hAnsi="Symbol" w:cs="Symbol" w:hint="default"/>
      </w:rPr>
    </w:lvl>
  </w:abstractNum>
  <w:abstractNum w:abstractNumId="98">
    <w:lvl w:ilvl="0">
      <w:numFmt w:val="bullet"/>
      <w:lvlText w:val="•"/>
      <w:lvlJc w:val="left"/>
      <w:pPr>
        <w:tabs>
          <w:tab w:val="num" w:pos="0"/>
        </w:tabs>
        <w:ind w:left="219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50" w:hanging="170"/>
      </w:pPr>
      <w:rPr>
        <w:rFonts w:ascii="Symbol" w:hAnsi="Symbol" w:cs="Symbol" w:hint="default"/>
      </w:rPr>
    </w:lvl>
  </w:abstractNum>
  <w:abstractNum w:abstractNumId="99">
    <w:lvl w:ilvl="0">
      <w:numFmt w:val="bullet"/>
      <w:lvlText w:val="•"/>
      <w:lvlJc w:val="left"/>
      <w:pPr>
        <w:tabs>
          <w:tab w:val="num" w:pos="0"/>
        </w:tabs>
        <w:ind w:left="219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50" w:hanging="170"/>
      </w:pPr>
      <w:rPr>
        <w:rFonts w:ascii="Symbol" w:hAnsi="Symbol" w:cs="Symbol" w:hint="default"/>
      </w:rPr>
    </w:lvl>
  </w:abstractNum>
  <w:abstractNum w:abstractNumId="100">
    <w:lvl w:ilvl="0">
      <w:numFmt w:val="bullet"/>
      <w:lvlText w:val="•"/>
      <w:lvlJc w:val="left"/>
      <w:pPr>
        <w:tabs>
          <w:tab w:val="num" w:pos="0"/>
        </w:tabs>
        <w:ind w:left="219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50" w:hanging="170"/>
      </w:pPr>
      <w:rPr>
        <w:rFonts w:ascii="Symbol" w:hAnsi="Symbol" w:cs="Symbol" w:hint="default"/>
      </w:rPr>
    </w:lvl>
  </w:abstractNum>
  <w:abstractNum w:abstractNumId="101">
    <w:lvl w:ilvl="0">
      <w:numFmt w:val="bullet"/>
      <w:lvlText w:val="•"/>
      <w:lvlJc w:val="left"/>
      <w:pPr>
        <w:tabs>
          <w:tab w:val="num" w:pos="0"/>
        </w:tabs>
        <w:ind w:left="219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50" w:hanging="170"/>
      </w:pPr>
      <w:rPr>
        <w:rFonts w:ascii="Symbol" w:hAnsi="Symbol" w:cs="Symbol" w:hint="default"/>
      </w:rPr>
    </w:lvl>
  </w:abstractNum>
  <w:abstractNum w:abstractNumId="102">
    <w:lvl w:ilvl="0">
      <w:numFmt w:val="bullet"/>
      <w:lvlText w:val="•"/>
      <w:lvlJc w:val="left"/>
      <w:pPr>
        <w:tabs>
          <w:tab w:val="num" w:pos="0"/>
        </w:tabs>
        <w:ind w:left="219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50" w:hanging="170"/>
      </w:pPr>
      <w:rPr>
        <w:rFonts w:ascii="Symbol" w:hAnsi="Symbol" w:cs="Symbol" w:hint="default"/>
      </w:rPr>
    </w:lvl>
  </w:abstractNum>
  <w:abstractNum w:abstractNumId="103">
    <w:lvl w:ilvl="0">
      <w:numFmt w:val="bullet"/>
      <w:lvlText w:val="•"/>
      <w:lvlJc w:val="left"/>
      <w:pPr>
        <w:tabs>
          <w:tab w:val="num" w:pos="0"/>
        </w:tabs>
        <w:ind w:left="221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50" w:hanging="170"/>
      </w:pPr>
      <w:rPr>
        <w:rFonts w:ascii="Symbol" w:hAnsi="Symbol" w:cs="Symbol" w:hint="default"/>
      </w:rPr>
    </w:lvl>
  </w:abstractNum>
  <w:abstractNum w:abstractNumId="104">
    <w:lvl w:ilvl="0">
      <w:numFmt w:val="bullet"/>
      <w:lvlText w:val="•"/>
      <w:lvlJc w:val="left"/>
      <w:pPr>
        <w:tabs>
          <w:tab w:val="num" w:pos="0"/>
        </w:tabs>
        <w:ind w:left="221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80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740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00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261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522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78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2043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2303" w:hanging="170"/>
      </w:pPr>
      <w:rPr>
        <w:rFonts w:ascii="Symbol" w:hAnsi="Symbol" w:cs="Symbol" w:hint="default"/>
      </w:rPr>
    </w:lvl>
  </w:abstractNum>
  <w:abstractNum w:abstractNumId="105">
    <w:lvl w:ilvl="0">
      <w:numFmt w:val="bullet"/>
      <w:lvlText w:val="•"/>
      <w:lvlJc w:val="left"/>
      <w:pPr>
        <w:tabs>
          <w:tab w:val="num" w:pos="0"/>
        </w:tabs>
        <w:ind w:left="221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50" w:hanging="170"/>
      </w:pPr>
      <w:rPr>
        <w:rFonts w:ascii="Symbol" w:hAnsi="Symbol" w:cs="Symbol" w:hint="default"/>
      </w:rPr>
    </w:lvl>
  </w:abstractNum>
  <w:abstractNum w:abstractNumId="106">
    <w:lvl w:ilvl="0">
      <w:numFmt w:val="bullet"/>
      <w:lvlText w:val="•"/>
      <w:lvlJc w:val="left"/>
      <w:pPr>
        <w:tabs>
          <w:tab w:val="num" w:pos="0"/>
        </w:tabs>
        <w:ind w:left="221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50" w:hanging="170"/>
      </w:pPr>
      <w:rPr>
        <w:rFonts w:ascii="Symbol" w:hAnsi="Symbol" w:cs="Symbol" w:hint="default"/>
      </w:rPr>
    </w:lvl>
  </w:abstractNum>
  <w:abstractNum w:abstractNumId="107">
    <w:lvl w:ilvl="0">
      <w:numFmt w:val="bullet"/>
      <w:lvlText w:val="•"/>
      <w:lvlJc w:val="left"/>
      <w:pPr>
        <w:tabs>
          <w:tab w:val="num" w:pos="0"/>
        </w:tabs>
        <w:ind w:left="221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50" w:hanging="170"/>
      </w:pPr>
      <w:rPr>
        <w:rFonts w:ascii="Symbol" w:hAnsi="Symbol" w:cs="Symbol" w:hint="default"/>
      </w:rPr>
    </w:lvl>
  </w:abstractNum>
  <w:abstractNum w:abstractNumId="108">
    <w:lvl w:ilvl="0">
      <w:numFmt w:val="bullet"/>
      <w:lvlText w:val="•"/>
      <w:lvlJc w:val="left"/>
      <w:pPr>
        <w:tabs>
          <w:tab w:val="num" w:pos="0"/>
        </w:tabs>
        <w:ind w:left="221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50" w:hanging="170"/>
      </w:pPr>
      <w:rPr>
        <w:rFonts w:ascii="Symbol" w:hAnsi="Symbol" w:cs="Symbol" w:hint="default"/>
      </w:rPr>
    </w:lvl>
  </w:abstractNum>
  <w:abstractNum w:abstractNumId="109">
    <w:lvl w:ilvl="0">
      <w:numFmt w:val="bullet"/>
      <w:lvlText w:val="•"/>
      <w:lvlJc w:val="left"/>
      <w:pPr>
        <w:tabs>
          <w:tab w:val="num" w:pos="0"/>
        </w:tabs>
        <w:ind w:left="221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50" w:hanging="170"/>
      </w:pPr>
      <w:rPr>
        <w:rFonts w:ascii="Symbol" w:hAnsi="Symbol" w:cs="Symbol" w:hint="default"/>
      </w:rPr>
    </w:lvl>
  </w:abstractNum>
  <w:abstractNum w:abstractNumId="110">
    <w:lvl w:ilvl="0">
      <w:numFmt w:val="bullet"/>
      <w:lvlText w:val="•"/>
      <w:lvlJc w:val="left"/>
      <w:pPr>
        <w:tabs>
          <w:tab w:val="num" w:pos="0"/>
        </w:tabs>
        <w:ind w:left="221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50" w:hanging="170"/>
      </w:pPr>
      <w:rPr>
        <w:rFonts w:ascii="Symbol" w:hAnsi="Symbol" w:cs="Symbol" w:hint="default"/>
      </w:rPr>
    </w:lvl>
  </w:abstractNum>
  <w:abstractNum w:abstractNumId="111">
    <w:lvl w:ilvl="0">
      <w:numFmt w:val="bullet"/>
      <w:lvlText w:val="•"/>
      <w:lvlJc w:val="left"/>
      <w:pPr>
        <w:tabs>
          <w:tab w:val="num" w:pos="0"/>
        </w:tabs>
        <w:ind w:left="220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50" w:hanging="170"/>
      </w:pPr>
      <w:rPr>
        <w:rFonts w:ascii="Symbol" w:hAnsi="Symbol" w:cs="Symbol" w:hint="default"/>
      </w:rPr>
    </w:lvl>
  </w:abstractNum>
  <w:abstractNum w:abstractNumId="112">
    <w:lvl w:ilvl="0">
      <w:numFmt w:val="bullet"/>
      <w:lvlText w:val="•"/>
      <w:lvlJc w:val="left"/>
      <w:pPr>
        <w:tabs>
          <w:tab w:val="num" w:pos="0"/>
        </w:tabs>
        <w:ind w:left="220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50" w:hanging="170"/>
      </w:pPr>
      <w:rPr>
        <w:rFonts w:ascii="Symbol" w:hAnsi="Symbol" w:cs="Symbol" w:hint="default"/>
      </w:rPr>
    </w:lvl>
  </w:abstractNum>
  <w:abstractNum w:abstractNumId="113">
    <w:lvl w:ilvl="0">
      <w:numFmt w:val="bullet"/>
      <w:lvlText w:val="•"/>
      <w:lvlJc w:val="left"/>
      <w:pPr>
        <w:tabs>
          <w:tab w:val="num" w:pos="0"/>
        </w:tabs>
        <w:ind w:left="220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50" w:hanging="170"/>
      </w:pPr>
      <w:rPr>
        <w:rFonts w:ascii="Symbol" w:hAnsi="Symbol" w:cs="Symbol" w:hint="default"/>
      </w:rPr>
    </w:lvl>
  </w:abstractNum>
  <w:abstractNum w:abstractNumId="114">
    <w:lvl w:ilvl="0">
      <w:numFmt w:val="bullet"/>
      <w:lvlText w:val="•"/>
      <w:lvlJc w:val="left"/>
      <w:pPr>
        <w:tabs>
          <w:tab w:val="num" w:pos="0"/>
        </w:tabs>
        <w:ind w:left="221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50" w:hanging="170"/>
      </w:pPr>
      <w:rPr>
        <w:rFonts w:ascii="Symbol" w:hAnsi="Symbol" w:cs="Symbol" w:hint="default"/>
      </w:rPr>
    </w:lvl>
  </w:abstractNum>
  <w:abstractNum w:abstractNumId="115">
    <w:lvl w:ilvl="0">
      <w:numFmt w:val="bullet"/>
      <w:lvlText w:val="•"/>
      <w:lvlJc w:val="left"/>
      <w:pPr>
        <w:tabs>
          <w:tab w:val="num" w:pos="0"/>
        </w:tabs>
        <w:ind w:left="221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50" w:hanging="170"/>
      </w:pPr>
      <w:rPr>
        <w:rFonts w:ascii="Symbol" w:hAnsi="Symbol" w:cs="Symbol" w:hint="default"/>
      </w:rPr>
    </w:lvl>
  </w:abstractNum>
  <w:abstractNum w:abstractNumId="116">
    <w:lvl w:ilvl="0">
      <w:numFmt w:val="bullet"/>
      <w:lvlText w:val="•"/>
      <w:lvlJc w:val="left"/>
      <w:pPr>
        <w:tabs>
          <w:tab w:val="num" w:pos="0"/>
        </w:tabs>
        <w:ind w:left="221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50" w:hanging="170"/>
      </w:pPr>
      <w:rPr>
        <w:rFonts w:ascii="Symbol" w:hAnsi="Symbol" w:cs="Symbol" w:hint="default"/>
      </w:rPr>
    </w:lvl>
  </w:abstractNum>
  <w:abstractNum w:abstractNumId="117">
    <w:lvl w:ilvl="0">
      <w:numFmt w:val="bullet"/>
      <w:lvlText w:val="•"/>
      <w:lvlJc w:val="left"/>
      <w:pPr>
        <w:tabs>
          <w:tab w:val="num" w:pos="0"/>
        </w:tabs>
        <w:ind w:left="221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50" w:hanging="170"/>
      </w:pPr>
      <w:rPr>
        <w:rFonts w:ascii="Symbol" w:hAnsi="Symbol" w:cs="Symbol" w:hint="default"/>
      </w:rPr>
    </w:lvl>
  </w:abstractNum>
  <w:abstractNum w:abstractNumId="118">
    <w:lvl w:ilvl="0">
      <w:numFmt w:val="bullet"/>
      <w:lvlText w:val="•"/>
      <w:lvlJc w:val="left"/>
      <w:pPr>
        <w:tabs>
          <w:tab w:val="num" w:pos="0"/>
        </w:tabs>
        <w:ind w:left="221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50" w:hanging="170"/>
      </w:pPr>
      <w:rPr>
        <w:rFonts w:ascii="Symbol" w:hAnsi="Symbol" w:cs="Symbol" w:hint="default"/>
      </w:rPr>
    </w:lvl>
  </w:abstractNum>
  <w:abstractNum w:abstractNumId="119">
    <w:lvl w:ilvl="0">
      <w:numFmt w:val="bullet"/>
      <w:lvlText w:val="•"/>
      <w:lvlJc w:val="left"/>
      <w:pPr>
        <w:tabs>
          <w:tab w:val="num" w:pos="0"/>
        </w:tabs>
        <w:ind w:left="221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300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51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735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952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170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387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05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22" w:hanging="170"/>
      </w:pPr>
      <w:rPr>
        <w:rFonts w:ascii="Symbol" w:hAnsi="Symbol" w:cs="Symbol" w:hint="default"/>
      </w:rPr>
    </w:lvl>
  </w:abstractNum>
  <w:abstractNum w:abstractNumId="120">
    <w:lvl w:ilvl="0">
      <w:numFmt w:val="bullet"/>
      <w:lvlText w:val="•"/>
      <w:lvlJc w:val="left"/>
      <w:pPr>
        <w:tabs>
          <w:tab w:val="num" w:pos="0"/>
        </w:tabs>
        <w:ind w:left="221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50" w:hanging="170"/>
      </w:pPr>
      <w:rPr>
        <w:rFonts w:ascii="Symbol" w:hAnsi="Symbol" w:cs="Symbol" w:hint="default"/>
      </w:rPr>
    </w:lvl>
  </w:abstractNum>
  <w:abstractNum w:abstractNumId="121">
    <w:lvl w:ilvl="0">
      <w:numFmt w:val="bullet"/>
      <w:lvlText w:val="•"/>
      <w:lvlJc w:val="left"/>
      <w:pPr>
        <w:tabs>
          <w:tab w:val="num" w:pos="0"/>
        </w:tabs>
        <w:ind w:left="221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50" w:hanging="170"/>
      </w:pPr>
      <w:rPr>
        <w:rFonts w:ascii="Symbol" w:hAnsi="Symbol" w:cs="Symbol" w:hint="default"/>
      </w:rPr>
    </w:lvl>
  </w:abstractNum>
  <w:abstractNum w:abstractNumId="122">
    <w:lvl w:ilvl="0">
      <w:numFmt w:val="bullet"/>
      <w:lvlText w:val="•"/>
      <w:lvlJc w:val="left"/>
      <w:pPr>
        <w:tabs>
          <w:tab w:val="num" w:pos="0"/>
        </w:tabs>
        <w:ind w:left="221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50" w:hanging="170"/>
      </w:pPr>
      <w:rPr>
        <w:rFonts w:ascii="Symbol" w:hAnsi="Symbol" w:cs="Symbol" w:hint="default"/>
      </w:rPr>
    </w:lvl>
  </w:abstractNum>
  <w:abstractNum w:abstractNumId="123">
    <w:lvl w:ilvl="0">
      <w:numFmt w:val="bullet"/>
      <w:lvlText w:val="•"/>
      <w:lvlJc w:val="left"/>
      <w:pPr>
        <w:tabs>
          <w:tab w:val="num" w:pos="0"/>
        </w:tabs>
        <w:ind w:left="221" w:hanging="170"/>
      </w:pPr>
      <w:rPr>
        <w:rFonts w:ascii="Humanst521EU-Normal" w:hAnsi="Humanst521EU-Normal" w:cs="Humanst521EU-Normal" w:hint="default"/>
        <w:color w:val="231F20"/>
        <w:spacing w:val="-16"/>
        <w:w w:val="99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300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51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735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952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170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387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05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22" w:hanging="170"/>
      </w:pPr>
      <w:rPr>
        <w:rFonts w:ascii="Symbol" w:hAnsi="Symbol" w:cs="Symbol" w:hint="default"/>
      </w:rPr>
    </w:lvl>
  </w:abstractNum>
  <w:abstractNum w:abstractNumId="124">
    <w:lvl w:ilvl="0">
      <w:numFmt w:val="bullet"/>
      <w:lvlText w:val="•"/>
      <w:lvlJc w:val="left"/>
      <w:pPr>
        <w:tabs>
          <w:tab w:val="num" w:pos="0"/>
        </w:tabs>
        <w:ind w:left="221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50" w:hanging="170"/>
      </w:pPr>
      <w:rPr>
        <w:rFonts w:ascii="Symbol" w:hAnsi="Symbol" w:cs="Symbol" w:hint="default"/>
      </w:rPr>
    </w:lvl>
  </w:abstractNum>
  <w:abstractNum w:abstractNumId="125">
    <w:lvl w:ilvl="0">
      <w:numFmt w:val="bullet"/>
      <w:lvlText w:val="•"/>
      <w:lvlJc w:val="left"/>
      <w:pPr>
        <w:tabs>
          <w:tab w:val="num" w:pos="0"/>
        </w:tabs>
        <w:ind w:left="221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50" w:hanging="170"/>
      </w:pPr>
      <w:rPr>
        <w:rFonts w:ascii="Symbol" w:hAnsi="Symbol" w:cs="Symbol" w:hint="default"/>
      </w:rPr>
    </w:lvl>
  </w:abstractNum>
  <w:abstractNum w:abstractNumId="126">
    <w:lvl w:ilvl="0">
      <w:numFmt w:val="bullet"/>
      <w:lvlText w:val="•"/>
      <w:lvlJc w:val="left"/>
      <w:pPr>
        <w:tabs>
          <w:tab w:val="num" w:pos="0"/>
        </w:tabs>
        <w:ind w:left="221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50" w:hanging="170"/>
      </w:pPr>
      <w:rPr>
        <w:rFonts w:ascii="Symbol" w:hAnsi="Symbol" w:cs="Symbol" w:hint="default"/>
      </w:rPr>
    </w:lvl>
  </w:abstractNum>
  <w:abstractNum w:abstractNumId="127">
    <w:lvl w:ilvl="0">
      <w:numFmt w:val="bullet"/>
      <w:lvlText w:val="•"/>
      <w:lvlJc w:val="left"/>
      <w:pPr>
        <w:tabs>
          <w:tab w:val="num" w:pos="0"/>
        </w:tabs>
        <w:ind w:left="221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300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51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735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952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170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387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05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22" w:hanging="170"/>
      </w:pPr>
      <w:rPr>
        <w:rFonts w:ascii="Symbol" w:hAnsi="Symbol" w:cs="Symbol" w:hint="default"/>
      </w:rPr>
    </w:lvl>
  </w:abstractNum>
  <w:abstractNum w:abstractNumId="128">
    <w:lvl w:ilvl="0">
      <w:numFmt w:val="bullet"/>
      <w:lvlText w:val="•"/>
      <w:lvlJc w:val="left"/>
      <w:pPr>
        <w:tabs>
          <w:tab w:val="num" w:pos="0"/>
        </w:tabs>
        <w:ind w:left="221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50" w:hanging="170"/>
      </w:pPr>
      <w:rPr>
        <w:rFonts w:ascii="Symbol" w:hAnsi="Symbol" w:cs="Symbol" w:hint="default"/>
      </w:rPr>
    </w:lvl>
  </w:abstractNum>
  <w:abstractNum w:abstractNumId="129">
    <w:lvl w:ilvl="0">
      <w:numFmt w:val="bullet"/>
      <w:lvlText w:val="•"/>
      <w:lvlJc w:val="left"/>
      <w:pPr>
        <w:tabs>
          <w:tab w:val="num" w:pos="0"/>
        </w:tabs>
        <w:ind w:left="221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50" w:hanging="170"/>
      </w:pPr>
      <w:rPr>
        <w:rFonts w:ascii="Symbol" w:hAnsi="Symbol" w:cs="Symbol" w:hint="default"/>
      </w:rPr>
    </w:lvl>
  </w:abstractNum>
  <w:abstractNum w:abstractNumId="130">
    <w:lvl w:ilvl="0">
      <w:numFmt w:val="bullet"/>
      <w:lvlText w:val="•"/>
      <w:lvlJc w:val="left"/>
      <w:pPr>
        <w:tabs>
          <w:tab w:val="num" w:pos="0"/>
        </w:tabs>
        <w:ind w:left="221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50" w:hanging="170"/>
      </w:pPr>
      <w:rPr>
        <w:rFonts w:ascii="Symbol" w:hAnsi="Symbol" w:cs="Symbol" w:hint="default"/>
      </w:rPr>
    </w:lvl>
  </w:abstractNum>
  <w:abstractNum w:abstractNumId="131">
    <w:lvl w:ilvl="0">
      <w:numFmt w:val="bullet"/>
      <w:lvlText w:val="•"/>
      <w:lvlJc w:val="left"/>
      <w:pPr>
        <w:tabs>
          <w:tab w:val="num" w:pos="0"/>
        </w:tabs>
        <w:ind w:left="221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50" w:hanging="170"/>
      </w:pPr>
      <w:rPr>
        <w:rFonts w:ascii="Symbol" w:hAnsi="Symbol" w:cs="Symbol" w:hint="default"/>
      </w:rPr>
    </w:lvl>
  </w:abstractNum>
  <w:abstractNum w:abstractNumId="132">
    <w:lvl w:ilvl="0">
      <w:numFmt w:val="bullet"/>
      <w:lvlText w:val="•"/>
      <w:lvlJc w:val="left"/>
      <w:pPr>
        <w:tabs>
          <w:tab w:val="num" w:pos="0"/>
        </w:tabs>
        <w:ind w:left="221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300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51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735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952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170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387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05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22" w:hanging="170"/>
      </w:pPr>
      <w:rPr>
        <w:rFonts w:ascii="Symbol" w:hAnsi="Symbol" w:cs="Symbol" w:hint="default"/>
      </w:rPr>
    </w:lvl>
  </w:abstractNum>
  <w:abstractNum w:abstractNumId="133">
    <w:lvl w:ilvl="0">
      <w:numFmt w:val="bullet"/>
      <w:lvlText w:val="•"/>
      <w:lvlJc w:val="left"/>
      <w:pPr>
        <w:tabs>
          <w:tab w:val="num" w:pos="0"/>
        </w:tabs>
        <w:ind w:left="221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50" w:hanging="170"/>
      </w:pPr>
      <w:rPr>
        <w:rFonts w:ascii="Symbol" w:hAnsi="Symbol" w:cs="Symbol" w:hint="default"/>
      </w:rPr>
    </w:lvl>
  </w:abstractNum>
  <w:abstractNum w:abstractNumId="134">
    <w:lvl w:ilvl="0">
      <w:numFmt w:val="bullet"/>
      <w:lvlText w:val="•"/>
      <w:lvlJc w:val="left"/>
      <w:pPr>
        <w:tabs>
          <w:tab w:val="num" w:pos="0"/>
        </w:tabs>
        <w:ind w:left="221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50" w:hanging="170"/>
      </w:pPr>
      <w:rPr>
        <w:rFonts w:ascii="Symbol" w:hAnsi="Symbol" w:cs="Symbol" w:hint="default"/>
      </w:rPr>
    </w:lvl>
  </w:abstractNum>
  <w:abstractNum w:abstractNumId="135">
    <w:lvl w:ilvl="0">
      <w:numFmt w:val="bullet"/>
      <w:lvlText w:val="•"/>
      <w:lvlJc w:val="left"/>
      <w:pPr>
        <w:tabs>
          <w:tab w:val="num" w:pos="0"/>
        </w:tabs>
        <w:ind w:left="221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300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51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735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952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170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387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05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22" w:hanging="170"/>
      </w:pPr>
      <w:rPr>
        <w:rFonts w:ascii="Symbol" w:hAnsi="Symbol" w:cs="Symbol" w:hint="default"/>
      </w:rPr>
    </w:lvl>
  </w:abstractNum>
  <w:abstractNum w:abstractNumId="136">
    <w:lvl w:ilvl="0">
      <w:numFmt w:val="bullet"/>
      <w:lvlText w:val="•"/>
      <w:lvlJc w:val="left"/>
      <w:pPr>
        <w:tabs>
          <w:tab w:val="num" w:pos="0"/>
        </w:tabs>
        <w:ind w:left="221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50" w:hanging="170"/>
      </w:pPr>
      <w:rPr>
        <w:rFonts w:ascii="Symbol" w:hAnsi="Symbol" w:cs="Symbol" w:hint="default"/>
      </w:rPr>
    </w:lvl>
  </w:abstractNum>
  <w:abstractNum w:abstractNumId="137">
    <w:lvl w:ilvl="0">
      <w:numFmt w:val="bullet"/>
      <w:lvlText w:val="•"/>
      <w:lvlJc w:val="left"/>
      <w:pPr>
        <w:tabs>
          <w:tab w:val="num" w:pos="0"/>
        </w:tabs>
        <w:ind w:left="221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50" w:hanging="170"/>
      </w:pPr>
      <w:rPr>
        <w:rFonts w:ascii="Symbol" w:hAnsi="Symbol" w:cs="Symbol" w:hint="default"/>
      </w:rPr>
    </w:lvl>
  </w:abstractNum>
  <w:abstractNum w:abstractNumId="138">
    <w:lvl w:ilvl="0">
      <w:numFmt w:val="bullet"/>
      <w:lvlText w:val="•"/>
      <w:lvlJc w:val="left"/>
      <w:pPr>
        <w:tabs>
          <w:tab w:val="num" w:pos="0"/>
        </w:tabs>
        <w:ind w:left="220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50" w:hanging="170"/>
      </w:pPr>
      <w:rPr>
        <w:rFonts w:ascii="Symbol" w:hAnsi="Symbol" w:cs="Symbol" w:hint="default"/>
      </w:rPr>
    </w:lvl>
  </w:abstractNum>
  <w:abstractNum w:abstractNumId="139">
    <w:lvl w:ilvl="0">
      <w:numFmt w:val="bullet"/>
      <w:lvlText w:val="•"/>
      <w:lvlJc w:val="left"/>
      <w:pPr>
        <w:tabs>
          <w:tab w:val="num" w:pos="0"/>
        </w:tabs>
        <w:ind w:left="220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50" w:hanging="170"/>
      </w:pPr>
      <w:rPr>
        <w:rFonts w:ascii="Symbol" w:hAnsi="Symbol" w:cs="Symbol" w:hint="default"/>
      </w:rPr>
    </w:lvl>
  </w:abstractNum>
  <w:abstractNum w:abstractNumId="140">
    <w:lvl w:ilvl="0">
      <w:numFmt w:val="bullet"/>
      <w:lvlText w:val="•"/>
      <w:lvlJc w:val="left"/>
      <w:pPr>
        <w:tabs>
          <w:tab w:val="num" w:pos="0"/>
        </w:tabs>
        <w:ind w:left="220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50" w:hanging="170"/>
      </w:pPr>
      <w:rPr>
        <w:rFonts w:ascii="Symbol" w:hAnsi="Symbol" w:cs="Symbol" w:hint="default"/>
      </w:rPr>
    </w:lvl>
  </w:abstractNum>
  <w:abstractNum w:abstractNumId="141">
    <w:lvl w:ilvl="0">
      <w:numFmt w:val="bullet"/>
      <w:lvlText w:val="•"/>
      <w:lvlJc w:val="left"/>
      <w:pPr>
        <w:tabs>
          <w:tab w:val="num" w:pos="0"/>
        </w:tabs>
        <w:ind w:left="220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50" w:hanging="170"/>
      </w:pPr>
      <w:rPr>
        <w:rFonts w:ascii="Symbol" w:hAnsi="Symbol" w:cs="Symbol" w:hint="default"/>
      </w:rPr>
    </w:lvl>
  </w:abstractNum>
  <w:abstractNum w:abstractNumId="142">
    <w:lvl w:ilvl="0">
      <w:numFmt w:val="bullet"/>
      <w:lvlText w:val="•"/>
      <w:lvlJc w:val="left"/>
      <w:pPr>
        <w:tabs>
          <w:tab w:val="num" w:pos="0"/>
        </w:tabs>
        <w:ind w:left="220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50" w:hanging="170"/>
      </w:pPr>
      <w:rPr>
        <w:rFonts w:ascii="Symbol" w:hAnsi="Symbol" w:cs="Symbol" w:hint="default"/>
      </w:rPr>
    </w:lvl>
  </w:abstractNum>
  <w:abstractNum w:abstractNumId="143">
    <w:lvl w:ilvl="0">
      <w:numFmt w:val="bullet"/>
      <w:lvlText w:val="•"/>
      <w:lvlJc w:val="left"/>
      <w:pPr>
        <w:tabs>
          <w:tab w:val="num" w:pos="0"/>
        </w:tabs>
        <w:ind w:left="220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50" w:hanging="170"/>
      </w:pPr>
      <w:rPr>
        <w:rFonts w:ascii="Symbol" w:hAnsi="Symbol" w:cs="Symbol" w:hint="default"/>
      </w:rPr>
    </w:lvl>
  </w:abstractNum>
  <w:abstractNum w:abstractNumId="144">
    <w:lvl w:ilvl="0">
      <w:numFmt w:val="bullet"/>
      <w:lvlText w:val="•"/>
      <w:lvlJc w:val="left"/>
      <w:pPr>
        <w:tabs>
          <w:tab w:val="num" w:pos="0"/>
        </w:tabs>
        <w:ind w:left="220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50" w:hanging="170"/>
      </w:pPr>
      <w:rPr>
        <w:rFonts w:ascii="Symbol" w:hAnsi="Symbol" w:cs="Symbol" w:hint="default"/>
      </w:rPr>
    </w:lvl>
  </w:abstractNum>
  <w:abstractNum w:abstractNumId="145">
    <w:lvl w:ilvl="0">
      <w:numFmt w:val="bullet"/>
      <w:lvlText w:val="•"/>
      <w:lvlJc w:val="left"/>
      <w:pPr>
        <w:tabs>
          <w:tab w:val="num" w:pos="0"/>
        </w:tabs>
        <w:ind w:left="220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50" w:hanging="170"/>
      </w:pPr>
      <w:rPr>
        <w:rFonts w:ascii="Symbol" w:hAnsi="Symbol" w:cs="Symbol" w:hint="default"/>
      </w:rPr>
    </w:lvl>
  </w:abstractNum>
  <w:abstractNum w:abstractNumId="146">
    <w:lvl w:ilvl="0">
      <w:numFmt w:val="bullet"/>
      <w:lvlText w:val="•"/>
      <w:lvlJc w:val="left"/>
      <w:pPr>
        <w:tabs>
          <w:tab w:val="num" w:pos="0"/>
        </w:tabs>
        <w:ind w:left="221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50" w:hanging="170"/>
      </w:pPr>
      <w:rPr>
        <w:rFonts w:ascii="Symbol" w:hAnsi="Symbol" w:cs="Symbol" w:hint="default"/>
      </w:rPr>
    </w:lvl>
  </w:abstractNum>
  <w:abstractNum w:abstractNumId="147">
    <w:lvl w:ilvl="0">
      <w:numFmt w:val="bullet"/>
      <w:lvlText w:val="•"/>
      <w:lvlJc w:val="left"/>
      <w:pPr>
        <w:tabs>
          <w:tab w:val="num" w:pos="0"/>
        </w:tabs>
        <w:ind w:left="221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50" w:hanging="170"/>
      </w:pPr>
      <w:rPr>
        <w:rFonts w:ascii="Symbol" w:hAnsi="Symbol" w:cs="Symbol" w:hint="default"/>
      </w:rPr>
    </w:lvl>
  </w:abstractNum>
  <w:abstractNum w:abstractNumId="148">
    <w:lvl w:ilvl="0">
      <w:numFmt w:val="bullet"/>
      <w:lvlText w:val="•"/>
      <w:lvlJc w:val="left"/>
      <w:pPr>
        <w:tabs>
          <w:tab w:val="num" w:pos="0"/>
        </w:tabs>
        <w:ind w:left="221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50" w:hanging="170"/>
      </w:pPr>
      <w:rPr>
        <w:rFonts w:ascii="Symbol" w:hAnsi="Symbol" w:cs="Symbol" w:hint="default"/>
      </w:rPr>
    </w:lvl>
  </w:abstractNum>
  <w:abstractNum w:abstractNumId="149">
    <w:lvl w:ilvl="0">
      <w:numFmt w:val="bullet"/>
      <w:lvlText w:val="•"/>
      <w:lvlJc w:val="left"/>
      <w:pPr>
        <w:tabs>
          <w:tab w:val="num" w:pos="0"/>
        </w:tabs>
        <w:ind w:left="221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50" w:hanging="170"/>
      </w:pPr>
      <w:rPr>
        <w:rFonts w:ascii="Symbol" w:hAnsi="Symbol" w:cs="Symbol" w:hint="default"/>
      </w:rPr>
    </w:lvl>
  </w:abstractNum>
  <w:abstractNum w:abstractNumId="150">
    <w:lvl w:ilvl="0">
      <w:numFmt w:val="bullet"/>
      <w:lvlText w:val="•"/>
      <w:lvlJc w:val="left"/>
      <w:pPr>
        <w:tabs>
          <w:tab w:val="num" w:pos="0"/>
        </w:tabs>
        <w:ind w:left="221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50" w:hanging="170"/>
      </w:pPr>
      <w:rPr>
        <w:rFonts w:ascii="Symbol" w:hAnsi="Symbol" w:cs="Symbol" w:hint="default"/>
      </w:rPr>
    </w:lvl>
  </w:abstractNum>
  <w:abstractNum w:abstractNumId="151">
    <w:lvl w:ilvl="0">
      <w:numFmt w:val="bullet"/>
      <w:lvlText w:val="•"/>
      <w:lvlJc w:val="left"/>
      <w:pPr>
        <w:tabs>
          <w:tab w:val="num" w:pos="0"/>
        </w:tabs>
        <w:ind w:left="221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50" w:hanging="170"/>
      </w:pPr>
      <w:rPr>
        <w:rFonts w:ascii="Symbol" w:hAnsi="Symbol" w:cs="Symbol" w:hint="default"/>
      </w:rPr>
    </w:lvl>
  </w:abstractNum>
  <w:abstractNum w:abstractNumId="152">
    <w:lvl w:ilvl="0">
      <w:numFmt w:val="bullet"/>
      <w:lvlText w:val="•"/>
      <w:lvlJc w:val="left"/>
      <w:pPr>
        <w:tabs>
          <w:tab w:val="num" w:pos="0"/>
        </w:tabs>
        <w:ind w:left="221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300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51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735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952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170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387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05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22" w:hanging="170"/>
      </w:pPr>
      <w:rPr>
        <w:rFonts w:ascii="Symbol" w:hAnsi="Symbol" w:cs="Symbol" w:hint="default"/>
      </w:rPr>
    </w:lvl>
  </w:abstractNum>
  <w:abstractNum w:abstractNumId="153">
    <w:lvl w:ilvl="0">
      <w:numFmt w:val="bullet"/>
      <w:lvlText w:val="•"/>
      <w:lvlJc w:val="left"/>
      <w:pPr>
        <w:tabs>
          <w:tab w:val="num" w:pos="0"/>
        </w:tabs>
        <w:ind w:left="220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50" w:hanging="170"/>
      </w:pPr>
      <w:rPr>
        <w:rFonts w:ascii="Symbol" w:hAnsi="Symbol" w:cs="Symbol" w:hint="default"/>
      </w:rPr>
    </w:lvl>
  </w:abstractNum>
  <w:abstractNum w:abstractNumId="154">
    <w:lvl w:ilvl="0">
      <w:numFmt w:val="bullet"/>
      <w:lvlText w:val="•"/>
      <w:lvlJc w:val="left"/>
      <w:pPr>
        <w:tabs>
          <w:tab w:val="num" w:pos="0"/>
        </w:tabs>
        <w:ind w:left="220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50" w:hanging="170"/>
      </w:pPr>
      <w:rPr>
        <w:rFonts w:ascii="Symbol" w:hAnsi="Symbol" w:cs="Symbol" w:hint="default"/>
      </w:rPr>
    </w:lvl>
  </w:abstractNum>
  <w:abstractNum w:abstractNumId="155">
    <w:lvl w:ilvl="0">
      <w:numFmt w:val="bullet"/>
      <w:lvlText w:val="•"/>
      <w:lvlJc w:val="left"/>
      <w:pPr>
        <w:tabs>
          <w:tab w:val="num" w:pos="0"/>
        </w:tabs>
        <w:ind w:left="220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50" w:hanging="170"/>
      </w:pPr>
      <w:rPr>
        <w:rFonts w:ascii="Symbol" w:hAnsi="Symbol" w:cs="Symbol" w:hint="default"/>
      </w:rPr>
    </w:lvl>
  </w:abstractNum>
  <w:abstractNum w:abstractNumId="156">
    <w:lvl w:ilvl="0">
      <w:numFmt w:val="bullet"/>
      <w:lvlText w:val="•"/>
      <w:lvlJc w:val="left"/>
      <w:pPr>
        <w:tabs>
          <w:tab w:val="num" w:pos="0"/>
        </w:tabs>
        <w:ind w:left="220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50" w:hanging="170"/>
      </w:pPr>
      <w:rPr>
        <w:rFonts w:ascii="Symbol" w:hAnsi="Symbol" w:cs="Symbol" w:hint="default"/>
      </w:rPr>
    </w:lvl>
  </w:abstractNum>
  <w:abstractNum w:abstractNumId="157">
    <w:lvl w:ilvl="0">
      <w:numFmt w:val="bullet"/>
      <w:lvlText w:val="•"/>
      <w:lvlJc w:val="left"/>
      <w:pPr>
        <w:tabs>
          <w:tab w:val="num" w:pos="0"/>
        </w:tabs>
        <w:ind w:left="220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50" w:hanging="170"/>
      </w:pPr>
      <w:rPr>
        <w:rFonts w:ascii="Symbol" w:hAnsi="Symbol" w:cs="Symbol" w:hint="default"/>
      </w:rPr>
    </w:lvl>
  </w:abstractNum>
  <w:abstractNum w:abstractNumId="158">
    <w:lvl w:ilvl="0">
      <w:numFmt w:val="bullet"/>
      <w:lvlText w:val="•"/>
      <w:lvlJc w:val="left"/>
      <w:pPr>
        <w:tabs>
          <w:tab w:val="num" w:pos="0"/>
        </w:tabs>
        <w:ind w:left="220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50" w:hanging="170"/>
      </w:pPr>
      <w:rPr>
        <w:rFonts w:ascii="Symbol" w:hAnsi="Symbol" w:cs="Symbol" w:hint="default"/>
      </w:rPr>
    </w:lvl>
  </w:abstractNum>
  <w:abstractNum w:abstractNumId="159">
    <w:lvl w:ilvl="0">
      <w:numFmt w:val="bullet"/>
      <w:lvlText w:val="•"/>
      <w:lvlJc w:val="left"/>
      <w:pPr>
        <w:tabs>
          <w:tab w:val="num" w:pos="0"/>
        </w:tabs>
        <w:ind w:left="220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50" w:hanging="170"/>
      </w:pPr>
      <w:rPr>
        <w:rFonts w:ascii="Symbol" w:hAnsi="Symbol" w:cs="Symbol" w:hint="default"/>
      </w:rPr>
    </w:lvl>
  </w:abstractNum>
  <w:abstractNum w:abstractNumId="160">
    <w:lvl w:ilvl="0">
      <w:numFmt w:val="bullet"/>
      <w:lvlText w:val="•"/>
      <w:lvlJc w:val="left"/>
      <w:pPr>
        <w:tabs>
          <w:tab w:val="num" w:pos="0"/>
        </w:tabs>
        <w:ind w:left="220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50" w:hanging="170"/>
      </w:pPr>
      <w:rPr>
        <w:rFonts w:ascii="Symbol" w:hAnsi="Symbol" w:cs="Symbol" w:hint="default"/>
      </w:rPr>
    </w:lvl>
  </w:abstractNum>
  <w:abstractNum w:abstractNumId="161">
    <w:lvl w:ilvl="0">
      <w:numFmt w:val="bullet"/>
      <w:lvlText w:val="•"/>
      <w:lvlJc w:val="left"/>
      <w:pPr>
        <w:tabs>
          <w:tab w:val="num" w:pos="0"/>
        </w:tabs>
        <w:ind w:left="221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50" w:hanging="170"/>
      </w:pPr>
      <w:rPr>
        <w:rFonts w:ascii="Symbol" w:hAnsi="Symbol" w:cs="Symbol" w:hint="default"/>
      </w:rPr>
    </w:lvl>
  </w:abstractNum>
  <w:abstractNum w:abstractNumId="162">
    <w:lvl w:ilvl="0">
      <w:numFmt w:val="bullet"/>
      <w:lvlText w:val="•"/>
      <w:lvlJc w:val="left"/>
      <w:pPr>
        <w:tabs>
          <w:tab w:val="num" w:pos="0"/>
        </w:tabs>
        <w:ind w:left="221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50" w:hanging="170"/>
      </w:pPr>
      <w:rPr>
        <w:rFonts w:ascii="Symbol" w:hAnsi="Symbol" w:cs="Symbol" w:hint="default"/>
      </w:rPr>
    </w:lvl>
  </w:abstractNum>
  <w:abstractNum w:abstractNumId="163">
    <w:lvl w:ilvl="0">
      <w:numFmt w:val="bullet"/>
      <w:lvlText w:val="•"/>
      <w:lvlJc w:val="left"/>
      <w:pPr>
        <w:tabs>
          <w:tab w:val="num" w:pos="0"/>
        </w:tabs>
        <w:ind w:left="221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50" w:hanging="170"/>
      </w:pPr>
      <w:rPr>
        <w:rFonts w:ascii="Symbol" w:hAnsi="Symbol" w:cs="Symbol" w:hint="default"/>
      </w:rPr>
    </w:lvl>
  </w:abstractNum>
  <w:abstractNum w:abstractNumId="164">
    <w:lvl w:ilvl="0">
      <w:numFmt w:val="bullet"/>
      <w:lvlText w:val="•"/>
      <w:lvlJc w:val="left"/>
      <w:pPr>
        <w:tabs>
          <w:tab w:val="num" w:pos="0"/>
        </w:tabs>
        <w:ind w:left="221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300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51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735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952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170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387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05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22" w:hanging="170"/>
      </w:pPr>
      <w:rPr>
        <w:rFonts w:ascii="Symbol" w:hAnsi="Symbol" w:cs="Symbol" w:hint="default"/>
      </w:rPr>
    </w:lvl>
  </w:abstractNum>
  <w:abstractNum w:abstractNumId="165">
    <w:lvl w:ilvl="0">
      <w:numFmt w:val="bullet"/>
      <w:lvlText w:val="•"/>
      <w:lvlJc w:val="left"/>
      <w:pPr>
        <w:tabs>
          <w:tab w:val="num" w:pos="0"/>
        </w:tabs>
        <w:ind w:left="221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50" w:hanging="170"/>
      </w:pPr>
      <w:rPr>
        <w:rFonts w:ascii="Symbol" w:hAnsi="Symbol" w:cs="Symbol" w:hint="default"/>
      </w:rPr>
    </w:lvl>
  </w:abstractNum>
  <w:abstractNum w:abstractNumId="166">
    <w:lvl w:ilvl="0">
      <w:numFmt w:val="bullet"/>
      <w:lvlText w:val="•"/>
      <w:lvlJc w:val="left"/>
      <w:pPr>
        <w:tabs>
          <w:tab w:val="num" w:pos="0"/>
        </w:tabs>
        <w:ind w:left="221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50" w:hanging="170"/>
      </w:pPr>
      <w:rPr>
        <w:rFonts w:ascii="Symbol" w:hAnsi="Symbol" w:cs="Symbol" w:hint="default"/>
      </w:rPr>
    </w:lvl>
  </w:abstractNum>
  <w:abstractNum w:abstractNumId="167">
    <w:lvl w:ilvl="0">
      <w:numFmt w:val="bullet"/>
      <w:lvlText w:val="•"/>
      <w:lvlJc w:val="left"/>
      <w:pPr>
        <w:tabs>
          <w:tab w:val="num" w:pos="0"/>
        </w:tabs>
        <w:ind w:left="221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300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51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735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952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170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387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05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22" w:hanging="170"/>
      </w:pPr>
      <w:rPr>
        <w:rFonts w:ascii="Symbol" w:hAnsi="Symbol" w:cs="Symbol" w:hint="default"/>
      </w:rPr>
    </w:lvl>
  </w:abstractNum>
  <w:abstractNum w:abstractNumId="168">
    <w:lvl w:ilvl="0">
      <w:numFmt w:val="bullet"/>
      <w:lvlText w:val="•"/>
      <w:lvlJc w:val="left"/>
      <w:pPr>
        <w:tabs>
          <w:tab w:val="num" w:pos="0"/>
        </w:tabs>
        <w:ind w:left="220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50" w:hanging="170"/>
      </w:pPr>
      <w:rPr>
        <w:rFonts w:ascii="Symbol" w:hAnsi="Symbol" w:cs="Symbol" w:hint="default"/>
      </w:rPr>
    </w:lvl>
  </w:abstractNum>
  <w:abstractNum w:abstractNumId="169">
    <w:lvl w:ilvl="0">
      <w:numFmt w:val="bullet"/>
      <w:lvlText w:val="•"/>
      <w:lvlJc w:val="left"/>
      <w:pPr>
        <w:tabs>
          <w:tab w:val="num" w:pos="0"/>
        </w:tabs>
        <w:ind w:left="220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50" w:hanging="170"/>
      </w:pPr>
      <w:rPr>
        <w:rFonts w:ascii="Symbol" w:hAnsi="Symbol" w:cs="Symbol" w:hint="default"/>
      </w:rPr>
    </w:lvl>
  </w:abstractNum>
  <w:abstractNum w:abstractNumId="170">
    <w:lvl w:ilvl="0">
      <w:numFmt w:val="bullet"/>
      <w:lvlText w:val="•"/>
      <w:lvlJc w:val="left"/>
      <w:pPr>
        <w:tabs>
          <w:tab w:val="num" w:pos="0"/>
        </w:tabs>
        <w:ind w:left="221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80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740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00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261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522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78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2043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2303" w:hanging="170"/>
      </w:pPr>
      <w:rPr>
        <w:rFonts w:ascii="Symbol" w:hAnsi="Symbol" w:cs="Symbol" w:hint="default"/>
      </w:rPr>
    </w:lvl>
  </w:abstractNum>
  <w:abstractNum w:abstractNumId="17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  <w:num w:numId="75">
    <w:abstractNumId w:val="75"/>
  </w:num>
  <w:num w:numId="76">
    <w:abstractNumId w:val="76"/>
  </w:num>
  <w:num w:numId="77">
    <w:abstractNumId w:val="77"/>
  </w:num>
  <w:num w:numId="78">
    <w:abstractNumId w:val="78"/>
  </w:num>
  <w:num w:numId="79">
    <w:abstractNumId w:val="79"/>
  </w:num>
  <w:num w:numId="80">
    <w:abstractNumId w:val="80"/>
  </w:num>
  <w:num w:numId="81">
    <w:abstractNumId w:val="81"/>
  </w:num>
  <w:num w:numId="82">
    <w:abstractNumId w:val="82"/>
  </w:num>
  <w:num w:numId="83">
    <w:abstractNumId w:val="83"/>
  </w:num>
  <w:num w:numId="84">
    <w:abstractNumId w:val="84"/>
  </w:num>
  <w:num w:numId="85">
    <w:abstractNumId w:val="85"/>
  </w:num>
  <w:num w:numId="86">
    <w:abstractNumId w:val="86"/>
  </w:num>
  <w:num w:numId="87">
    <w:abstractNumId w:val="87"/>
  </w:num>
  <w:num w:numId="88">
    <w:abstractNumId w:val="88"/>
  </w:num>
  <w:num w:numId="89">
    <w:abstractNumId w:val="89"/>
  </w:num>
  <w:num w:numId="90">
    <w:abstractNumId w:val="90"/>
  </w:num>
  <w:num w:numId="91">
    <w:abstractNumId w:val="91"/>
  </w:num>
  <w:num w:numId="92">
    <w:abstractNumId w:val="92"/>
  </w:num>
  <w:num w:numId="93">
    <w:abstractNumId w:val="93"/>
  </w:num>
  <w:num w:numId="94">
    <w:abstractNumId w:val="94"/>
  </w:num>
  <w:num w:numId="95">
    <w:abstractNumId w:val="95"/>
  </w:num>
  <w:num w:numId="96">
    <w:abstractNumId w:val="96"/>
  </w:num>
  <w:num w:numId="97">
    <w:abstractNumId w:val="97"/>
  </w:num>
  <w:num w:numId="98">
    <w:abstractNumId w:val="98"/>
  </w:num>
  <w:num w:numId="99">
    <w:abstractNumId w:val="99"/>
  </w:num>
  <w:num w:numId="100">
    <w:abstractNumId w:val="100"/>
  </w:num>
  <w:num w:numId="101">
    <w:abstractNumId w:val="101"/>
  </w:num>
  <w:num w:numId="102">
    <w:abstractNumId w:val="102"/>
  </w:num>
  <w:num w:numId="103">
    <w:abstractNumId w:val="103"/>
  </w:num>
  <w:num w:numId="104">
    <w:abstractNumId w:val="104"/>
  </w:num>
  <w:num w:numId="105">
    <w:abstractNumId w:val="105"/>
  </w:num>
  <w:num w:numId="106">
    <w:abstractNumId w:val="106"/>
  </w:num>
  <w:num w:numId="107">
    <w:abstractNumId w:val="107"/>
  </w:num>
  <w:num w:numId="108">
    <w:abstractNumId w:val="108"/>
  </w:num>
  <w:num w:numId="109">
    <w:abstractNumId w:val="109"/>
  </w:num>
  <w:num w:numId="110">
    <w:abstractNumId w:val="110"/>
  </w:num>
  <w:num w:numId="111">
    <w:abstractNumId w:val="111"/>
  </w:num>
  <w:num w:numId="112">
    <w:abstractNumId w:val="112"/>
  </w:num>
  <w:num w:numId="113">
    <w:abstractNumId w:val="113"/>
  </w:num>
  <w:num w:numId="114">
    <w:abstractNumId w:val="114"/>
  </w:num>
  <w:num w:numId="115">
    <w:abstractNumId w:val="115"/>
  </w:num>
  <w:num w:numId="116">
    <w:abstractNumId w:val="116"/>
  </w:num>
  <w:num w:numId="117">
    <w:abstractNumId w:val="117"/>
  </w:num>
  <w:num w:numId="118">
    <w:abstractNumId w:val="118"/>
  </w:num>
  <w:num w:numId="119">
    <w:abstractNumId w:val="119"/>
  </w:num>
  <w:num w:numId="120">
    <w:abstractNumId w:val="120"/>
  </w:num>
  <w:num w:numId="121">
    <w:abstractNumId w:val="121"/>
  </w:num>
  <w:num w:numId="122">
    <w:abstractNumId w:val="122"/>
  </w:num>
  <w:num w:numId="123">
    <w:abstractNumId w:val="123"/>
  </w:num>
  <w:num w:numId="124">
    <w:abstractNumId w:val="124"/>
  </w:num>
  <w:num w:numId="125">
    <w:abstractNumId w:val="125"/>
  </w:num>
  <w:num w:numId="126">
    <w:abstractNumId w:val="126"/>
  </w:num>
  <w:num w:numId="127">
    <w:abstractNumId w:val="127"/>
  </w:num>
  <w:num w:numId="128">
    <w:abstractNumId w:val="128"/>
  </w:num>
  <w:num w:numId="129">
    <w:abstractNumId w:val="129"/>
  </w:num>
  <w:num w:numId="130">
    <w:abstractNumId w:val="130"/>
  </w:num>
  <w:num w:numId="131">
    <w:abstractNumId w:val="131"/>
  </w:num>
  <w:num w:numId="132">
    <w:abstractNumId w:val="132"/>
  </w:num>
  <w:num w:numId="133">
    <w:abstractNumId w:val="133"/>
  </w:num>
  <w:num w:numId="134">
    <w:abstractNumId w:val="134"/>
  </w:num>
  <w:num w:numId="135">
    <w:abstractNumId w:val="135"/>
  </w:num>
  <w:num w:numId="136">
    <w:abstractNumId w:val="136"/>
  </w:num>
  <w:num w:numId="137">
    <w:abstractNumId w:val="137"/>
  </w:num>
  <w:num w:numId="138">
    <w:abstractNumId w:val="138"/>
  </w:num>
  <w:num w:numId="139">
    <w:abstractNumId w:val="139"/>
  </w:num>
  <w:num w:numId="140">
    <w:abstractNumId w:val="140"/>
  </w:num>
  <w:num w:numId="141">
    <w:abstractNumId w:val="141"/>
  </w:num>
  <w:num w:numId="142">
    <w:abstractNumId w:val="142"/>
  </w:num>
  <w:num w:numId="143">
    <w:abstractNumId w:val="143"/>
  </w:num>
  <w:num w:numId="144">
    <w:abstractNumId w:val="144"/>
  </w:num>
  <w:num w:numId="145">
    <w:abstractNumId w:val="145"/>
  </w:num>
  <w:num w:numId="146">
    <w:abstractNumId w:val="146"/>
  </w:num>
  <w:num w:numId="147">
    <w:abstractNumId w:val="147"/>
  </w:num>
  <w:num w:numId="148">
    <w:abstractNumId w:val="148"/>
  </w:num>
  <w:num w:numId="149">
    <w:abstractNumId w:val="149"/>
  </w:num>
  <w:num w:numId="150">
    <w:abstractNumId w:val="150"/>
  </w:num>
  <w:num w:numId="151">
    <w:abstractNumId w:val="151"/>
  </w:num>
  <w:num w:numId="152">
    <w:abstractNumId w:val="152"/>
  </w:num>
  <w:num w:numId="153">
    <w:abstractNumId w:val="153"/>
  </w:num>
  <w:num w:numId="154">
    <w:abstractNumId w:val="154"/>
  </w:num>
  <w:num w:numId="155">
    <w:abstractNumId w:val="155"/>
  </w:num>
  <w:num w:numId="156">
    <w:abstractNumId w:val="156"/>
  </w:num>
  <w:num w:numId="157">
    <w:abstractNumId w:val="157"/>
  </w:num>
  <w:num w:numId="158">
    <w:abstractNumId w:val="158"/>
  </w:num>
  <w:num w:numId="159">
    <w:abstractNumId w:val="159"/>
  </w:num>
  <w:num w:numId="160">
    <w:abstractNumId w:val="160"/>
  </w:num>
  <w:num w:numId="161">
    <w:abstractNumId w:val="161"/>
  </w:num>
  <w:num w:numId="162">
    <w:abstractNumId w:val="162"/>
  </w:num>
  <w:num w:numId="163">
    <w:abstractNumId w:val="163"/>
  </w:num>
  <w:num w:numId="164">
    <w:abstractNumId w:val="164"/>
  </w:num>
  <w:num w:numId="165">
    <w:abstractNumId w:val="165"/>
  </w:num>
  <w:num w:numId="166">
    <w:abstractNumId w:val="166"/>
  </w:num>
  <w:num w:numId="167">
    <w:abstractNumId w:val="167"/>
  </w:num>
  <w:num w:numId="168">
    <w:abstractNumId w:val="168"/>
  </w:num>
  <w:num w:numId="169">
    <w:abstractNumId w:val="169"/>
  </w:num>
  <w:num w:numId="170">
    <w:abstractNumId w:val="170"/>
  </w:num>
  <w:num w:numId="171">
    <w:abstractNumId w:val="171"/>
  </w:num>
</w:numbering>
</file>

<file path=word/settings.xml><?xml version="1.0" encoding="utf-8"?>
<w:settings xmlns:w="http://schemas.openxmlformats.org/wordprocessingml/2006/main">
  <w:zoom w:percent="129"/>
  <w:defaultTabStop w:val="720"/>
  <w:autoHyphenation w:val="true"/>
  <w:hyphenationZone w:val="0"/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uiPriority w:val="1"/>
    <w:qFormat/>
    <w:rsid w:val="00a57fb3"/>
    <w:pPr>
      <w:widowControl w:val="false"/>
      <w:suppressAutoHyphens w:val="true"/>
      <w:bidi w:val="0"/>
      <w:spacing w:before="0" w:after="0"/>
      <w:jc w:val="left"/>
    </w:pPr>
    <w:rPr>
      <w:rFonts w:ascii="Humanst521EU-Normal" w:hAnsi="Humanst521EU-Normal" w:eastAsia="Humanst521EU-Normal" w:cs="Humanst521EU-Normal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gwekZnak" w:customStyle="1">
    <w:name w:val="Nagłówek Znak"/>
    <w:basedOn w:val="DefaultParagraphFont"/>
    <w:uiPriority w:val="99"/>
    <w:qFormat/>
    <w:rsid w:val="006e35a6"/>
    <w:rPr>
      <w:rFonts w:ascii="Humanst521EU-Normal" w:hAnsi="Humanst521EU-Normal" w:eastAsia="Humanst521EU-Normal" w:cs="Humanst521EU-Normal"/>
      <w:lang w:val="pl-PL"/>
    </w:rPr>
  </w:style>
  <w:style w:type="character" w:styleId="StopkaZnak" w:customStyle="1">
    <w:name w:val="Stopka Znak"/>
    <w:basedOn w:val="DefaultParagraphFont"/>
    <w:uiPriority w:val="99"/>
    <w:qFormat/>
    <w:rsid w:val="006e35a6"/>
    <w:rPr>
      <w:rFonts w:ascii="Humanst521EU-Normal" w:hAnsi="Humanst521EU-Normal" w:eastAsia="Humanst521EU-Normal" w:cs="Humanst521EU-Normal"/>
      <w:lang w:val="pl-PL"/>
    </w:rPr>
  </w:style>
  <w:style w:type="character" w:styleId="WW8Num7z0">
    <w:name w:val="WW8Num7z0"/>
    <w:qFormat/>
    <w:rPr/>
  </w:style>
  <w:style w:type="character" w:styleId="WW8Num3z0">
    <w:name w:val="WW8Num3z0"/>
    <w:qFormat/>
    <w:rPr>
      <w:rFonts w:ascii="Symbol" w:hAnsi="Symbol" w:cs="Symbol"/>
    </w:rPr>
  </w:style>
  <w:style w:type="character" w:styleId="WW8Num6z0">
    <w:name w:val="WW8Num6z0"/>
    <w:qFormat/>
    <w:rPr>
      <w:rFonts w:ascii="Symbol" w:hAnsi="Symbol" w:cs="Symbol"/>
    </w:rPr>
  </w:style>
  <w:style w:type="character" w:styleId="WW8Num5z0">
    <w:name w:val="WW8Num5z0"/>
    <w:qFormat/>
    <w:rPr>
      <w:rFonts w:ascii="Symbol" w:hAnsi="Symbol" w:cs="Symbol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uiPriority w:val="1"/>
    <w:qFormat/>
    <w:rsid w:val="00a57fb3"/>
    <w:pPr/>
    <w:rPr>
      <w:rFonts w:ascii="Swis721BlkCnEU-Italic" w:hAnsi="Swis721BlkCnEU-Italic" w:eastAsia="Swis721BlkCnEU-Italic" w:cs="Swis721BlkCnEU-Italic"/>
      <w:i/>
      <w:sz w:val="15"/>
      <w:szCs w:val="15"/>
    </w:rPr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Nagwekuser">
    <w:name w:val="Nagłówek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Indeksuser">
    <w:name w:val="Indeks (user)"/>
    <w:basedOn w:val="Normal"/>
    <w:qFormat/>
    <w:pPr>
      <w:suppressLineNumbers/>
    </w:pPr>
    <w:rPr>
      <w:rFonts w:cs="Lucida Sans"/>
    </w:rPr>
  </w:style>
  <w:style w:type="paragraph" w:styleId="ListParagraph">
    <w:name w:val="List Paragraph"/>
    <w:basedOn w:val="Normal"/>
    <w:uiPriority w:val="34"/>
    <w:qFormat/>
    <w:rsid w:val="00a57fb3"/>
    <w:pPr/>
    <w:rPr/>
  </w:style>
  <w:style w:type="paragraph" w:styleId="TableParagraph" w:customStyle="1">
    <w:name w:val="Table Paragraph"/>
    <w:basedOn w:val="Normal"/>
    <w:uiPriority w:val="1"/>
    <w:qFormat/>
    <w:rsid w:val="00a57fb3"/>
    <w:pPr>
      <w:ind w:hanging="170" w:left="221"/>
    </w:pPr>
    <w:rPr/>
  </w:style>
  <w:style w:type="paragraph" w:styleId="Gwkaistopka">
    <w:name w:val="Główka i stopka"/>
    <w:basedOn w:val="Normal"/>
    <w:qFormat/>
    <w:pPr/>
    <w:rPr/>
  </w:style>
  <w:style w:type="paragraph" w:styleId="Gwkaistopkauser">
    <w:name w:val="Główka i stopka (user)"/>
    <w:basedOn w:val="Normal"/>
    <w:qFormat/>
    <w:pPr/>
    <w:rPr/>
  </w:style>
  <w:style w:type="paragraph" w:styleId="Header">
    <w:name w:val="header"/>
    <w:basedOn w:val="Normal"/>
    <w:link w:val="NagwekZnak"/>
    <w:uiPriority w:val="99"/>
    <w:unhideWhenUsed/>
    <w:rsid w:val="006e35a6"/>
    <w:pPr>
      <w:tabs>
        <w:tab w:val="clear" w:pos="720"/>
        <w:tab w:val="center" w:pos="4536" w:leader="none"/>
        <w:tab w:val="right" w:pos="9072" w:leader="none"/>
      </w:tabs>
    </w:pPr>
    <w:rPr/>
  </w:style>
  <w:style w:type="paragraph" w:styleId="Footer">
    <w:name w:val="footer"/>
    <w:basedOn w:val="Normal"/>
    <w:link w:val="StopkaZnak"/>
    <w:uiPriority w:val="99"/>
    <w:unhideWhenUsed/>
    <w:rsid w:val="006e35a6"/>
    <w:pPr>
      <w:tabs>
        <w:tab w:val="clear" w:pos="720"/>
        <w:tab w:val="center" w:pos="4536" w:leader="none"/>
        <w:tab w:val="right" w:pos="9072" w:leader="none"/>
      </w:tabs>
    </w:pPr>
    <w:rPr/>
  </w:style>
  <w:style w:type="numbering" w:styleId="Bezlisty" w:default="1">
    <w:name w:val="Bez listy"/>
    <w:uiPriority w:val="99"/>
    <w:semiHidden/>
    <w:unhideWhenUsed/>
    <w:qFormat/>
  </w:style>
  <w:style w:type="numbering" w:styleId="WW8Num7">
    <w:name w:val="WW8Num7"/>
    <w:qFormat/>
  </w:style>
  <w:style w:type="numbering" w:styleId="WW8Num3">
    <w:name w:val="WW8Num3"/>
    <w:qFormat/>
  </w:style>
  <w:style w:type="numbering" w:styleId="WW8Num6">
    <w:name w:val="WW8Num6"/>
    <w:qFormat/>
  </w:style>
  <w:style w:type="numbering" w:styleId="WW8Num5">
    <w:name w:val="WW8Num5"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rsid w:val="00a57fb3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footer" Target="footer4.xml"/><Relationship Id="rId6" Type="http://schemas.openxmlformats.org/officeDocument/2006/relationships/footer" Target="footer5.xml"/><Relationship Id="rId7" Type="http://schemas.openxmlformats.org/officeDocument/2006/relationships/footer" Target="footer6.xml"/><Relationship Id="rId8" Type="http://schemas.openxmlformats.org/officeDocument/2006/relationships/footer" Target="footer7.xml"/><Relationship Id="rId9" Type="http://schemas.openxmlformats.org/officeDocument/2006/relationships/footer" Target="footer8.xml"/><Relationship Id="rId10" Type="http://schemas.openxmlformats.org/officeDocument/2006/relationships/footer" Target="footer9.xml"/><Relationship Id="rId11" Type="http://schemas.openxmlformats.org/officeDocument/2006/relationships/footer" Target="footer10.xml"/><Relationship Id="rId12" Type="http://schemas.openxmlformats.org/officeDocument/2006/relationships/footer" Target="footer11.xml"/><Relationship Id="rId13" Type="http://schemas.openxmlformats.org/officeDocument/2006/relationships/footer" Target="footer12.xml"/><Relationship Id="rId14" Type="http://schemas.openxmlformats.org/officeDocument/2006/relationships/footer" Target="footer13.xml"/><Relationship Id="rId15" Type="http://schemas.openxmlformats.org/officeDocument/2006/relationships/footer" Target="footer14.xml"/><Relationship Id="rId16" Type="http://schemas.openxmlformats.org/officeDocument/2006/relationships/footer" Target="footer15.xml"/><Relationship Id="rId17" Type="http://schemas.openxmlformats.org/officeDocument/2006/relationships/footer" Target="footer16.xml"/><Relationship Id="rId18" Type="http://schemas.openxmlformats.org/officeDocument/2006/relationships/footer" Target="footer17.xml"/><Relationship Id="rId19" Type="http://schemas.openxmlformats.org/officeDocument/2006/relationships/footer" Target="footer18.xml"/><Relationship Id="rId20" Type="http://schemas.openxmlformats.org/officeDocument/2006/relationships/footer" Target="footer19.xml"/><Relationship Id="rId21" Type="http://schemas.openxmlformats.org/officeDocument/2006/relationships/footer" Target="footer20.xml"/><Relationship Id="rId22" Type="http://schemas.openxmlformats.org/officeDocument/2006/relationships/footer" Target="footer21.xml"/><Relationship Id="rId23" Type="http://schemas.openxmlformats.org/officeDocument/2006/relationships/footer" Target="footer22.xml"/><Relationship Id="rId24" Type="http://schemas.openxmlformats.org/officeDocument/2006/relationships/footer" Target="footer23.xml"/><Relationship Id="rId25" Type="http://schemas.openxmlformats.org/officeDocument/2006/relationships/footer" Target="footer24.xml"/><Relationship Id="rId26" Type="http://schemas.openxmlformats.org/officeDocument/2006/relationships/footer" Target="footer25.xml"/><Relationship Id="rId27" Type="http://schemas.openxmlformats.org/officeDocument/2006/relationships/footer" Target="footer26.xml"/><Relationship Id="rId28" Type="http://schemas.openxmlformats.org/officeDocument/2006/relationships/footer" Target="footer27.xml"/><Relationship Id="rId29" Type="http://schemas.openxmlformats.org/officeDocument/2006/relationships/footer" Target="footer28.xml"/><Relationship Id="rId30" Type="http://schemas.openxmlformats.org/officeDocument/2006/relationships/footer" Target="footer29.xml"/><Relationship Id="rId31" Type="http://schemas.openxmlformats.org/officeDocument/2006/relationships/footer" Target="footer30.xml"/><Relationship Id="rId32" Type="http://schemas.openxmlformats.org/officeDocument/2006/relationships/footer" Target="footer31.xml"/><Relationship Id="rId33" Type="http://schemas.openxmlformats.org/officeDocument/2006/relationships/footer" Target="footer32.xml"/><Relationship Id="rId34" Type="http://schemas.openxmlformats.org/officeDocument/2006/relationships/footer" Target="footer33.xml"/><Relationship Id="rId35" Type="http://schemas.openxmlformats.org/officeDocument/2006/relationships/footer" Target="footer34.xml"/><Relationship Id="rId36" Type="http://schemas.openxmlformats.org/officeDocument/2006/relationships/footer" Target="footer35.xml"/><Relationship Id="rId37" Type="http://schemas.openxmlformats.org/officeDocument/2006/relationships/footer" Target="footer36.xml"/><Relationship Id="rId38" Type="http://schemas.openxmlformats.org/officeDocument/2006/relationships/footer" Target="footer37.xml"/><Relationship Id="rId39" Type="http://schemas.openxmlformats.org/officeDocument/2006/relationships/footer" Target="footer38.xml"/><Relationship Id="rId40" Type="http://schemas.openxmlformats.org/officeDocument/2006/relationships/footer" Target="footer39.xml"/><Relationship Id="rId41" Type="http://schemas.openxmlformats.org/officeDocument/2006/relationships/footer" Target="footer40.xml"/><Relationship Id="rId42" Type="http://schemas.openxmlformats.org/officeDocument/2006/relationships/footer" Target="footer41.xml"/><Relationship Id="rId43" Type="http://schemas.openxmlformats.org/officeDocument/2006/relationships/footer" Target="footer42.xml"/><Relationship Id="rId44" Type="http://schemas.openxmlformats.org/officeDocument/2006/relationships/numbering" Target="numbering.xml"/><Relationship Id="rId45" Type="http://schemas.openxmlformats.org/officeDocument/2006/relationships/fontTable" Target="fontTable.xml"/><Relationship Id="rId46" Type="http://schemas.openxmlformats.org/officeDocument/2006/relationships/settings" Target="settings.xml"/><Relationship Id="rId47" Type="http://schemas.openxmlformats.org/officeDocument/2006/relationships/theme" Target="theme/theme1.xml"/><Relationship Id="rId48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4CAA4D-0F1A-4905-AB06-2810EA3478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Application>LibreOffice/26.2.6.3$Windows_X86_64 LibreOffice_project/8221e31b3ac356a1623c672912a3d2b492f7e3d1</Application>
  <AppVersion>15.0000</AppVersion>
  <Pages>7</Pages>
  <Words>2603</Words>
  <Characters>15618</Characters>
  <CharactersWithSpaces>18185</CharactersWithSpaces>
  <Paragraphs>36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2024-08-05T08:48:00Z</dcterms:created>
  <dc:creator>Dorota Dąbrowska-Mróz</dc:creator>
  <dc:description/>
  <dc:language>pl-PL</dc:language>
  <cp:lastModifiedBy/>
  <dcterms:modified xsi:type="dcterms:W3CDTF">2026-10-04T20:03:54Z</dcterms:modified>
  <cp:revision>12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2017-08-24T00:00:00Z</vt:filetime>
  </property>
  <property fmtid="{D5CDD505-2E9C-101B-9397-08002B2CF9AE}" pid="3" name="Creator">
    <vt:lpwstr>Adobe InDesign CC 2017 (Macintosh)</vt:lpwstr>
  </property>
  <property fmtid="{D5CDD505-2E9C-101B-9397-08002B2CF9AE}" pid="4" name="LastSaved">
    <vt:filetime>2017-08-24T00:00:00Z</vt:filetime>
  </property>
</Properties>
</file>